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F7" w:rsidRPr="005C0645" w:rsidRDefault="00215FF7" w:rsidP="005C0645">
      <w:pPr>
        <w:spacing w:after="0" w:line="240" w:lineRule="auto"/>
        <w:jc w:val="both"/>
        <w:rPr>
          <w:rFonts w:ascii="Times New Roman" w:hAnsi="Times New Roman" w:cs="Times New Roman"/>
          <w:sz w:val="24"/>
          <w:szCs w:val="24"/>
        </w:rPr>
      </w:pPr>
      <w:r w:rsidRPr="005C0645">
        <w:rPr>
          <w:rFonts w:ascii="Times New Roman" w:hAnsi="Times New Roman" w:cs="Times New Roman"/>
          <w:sz w:val="24"/>
          <w:szCs w:val="24"/>
        </w:rPr>
        <w:t xml:space="preserve">УДК </w:t>
      </w:r>
      <w:r w:rsidR="005B1481" w:rsidRPr="005B1481">
        <w:rPr>
          <w:rFonts w:ascii="Times New Roman" w:hAnsi="Times New Roman" w:cs="Times New Roman"/>
          <w:sz w:val="24"/>
          <w:szCs w:val="24"/>
        </w:rPr>
        <w:t>614.8.084</w:t>
      </w:r>
    </w:p>
    <w:p w:rsidR="00C07E5B" w:rsidRPr="005C0645" w:rsidRDefault="00215FF7" w:rsidP="005C0645">
      <w:pPr>
        <w:spacing w:after="0" w:line="240" w:lineRule="auto"/>
        <w:ind w:firstLine="709"/>
        <w:jc w:val="center"/>
        <w:rPr>
          <w:rFonts w:ascii="Times New Roman" w:hAnsi="Times New Roman" w:cs="Times New Roman"/>
          <w:b/>
          <w:sz w:val="24"/>
          <w:szCs w:val="24"/>
        </w:rPr>
      </w:pPr>
      <w:r w:rsidRPr="005C0645">
        <w:rPr>
          <w:rFonts w:ascii="Times New Roman" w:hAnsi="Times New Roman" w:cs="Times New Roman"/>
          <w:b/>
          <w:sz w:val="24"/>
          <w:szCs w:val="24"/>
        </w:rPr>
        <w:t>ОЦЕНКА УСТОЙЧИВОСТИ ФУНКЦИОНИРОВАНИЯ ПРЕДПРИЯТИЯ ЛЕГКОЙ ПРОМЫШЛЕННОСТИ</w:t>
      </w:r>
    </w:p>
    <w:p w:rsidR="006F29AE" w:rsidRPr="005C0645" w:rsidRDefault="006F29AE" w:rsidP="005C0645">
      <w:pPr>
        <w:spacing w:after="0" w:line="240" w:lineRule="auto"/>
        <w:ind w:firstLine="709"/>
        <w:jc w:val="both"/>
        <w:rPr>
          <w:rFonts w:ascii="Times New Roman" w:hAnsi="Times New Roman" w:cs="Times New Roman"/>
          <w:sz w:val="24"/>
          <w:szCs w:val="24"/>
        </w:rPr>
      </w:pPr>
    </w:p>
    <w:p w:rsidR="00215FF7" w:rsidRPr="005C0645" w:rsidRDefault="00215FF7" w:rsidP="005C0645">
      <w:pPr>
        <w:spacing w:after="0" w:line="240" w:lineRule="auto"/>
        <w:ind w:firstLine="709"/>
        <w:jc w:val="right"/>
        <w:rPr>
          <w:rFonts w:ascii="Times New Roman" w:hAnsi="Times New Roman" w:cs="Times New Roman"/>
          <w:b/>
          <w:sz w:val="24"/>
          <w:szCs w:val="24"/>
        </w:rPr>
      </w:pPr>
      <w:r w:rsidRPr="005C0645">
        <w:rPr>
          <w:rFonts w:ascii="Times New Roman" w:hAnsi="Times New Roman" w:cs="Times New Roman"/>
          <w:b/>
          <w:sz w:val="24"/>
          <w:szCs w:val="24"/>
        </w:rPr>
        <w:t>А.П. Голанова</w:t>
      </w:r>
    </w:p>
    <w:p w:rsidR="00215FF7" w:rsidRPr="005C0645" w:rsidRDefault="00215FF7" w:rsidP="005C0645">
      <w:pPr>
        <w:spacing w:after="0" w:line="240" w:lineRule="auto"/>
        <w:jc w:val="right"/>
        <w:rPr>
          <w:rFonts w:ascii="Times New Roman" w:hAnsi="Times New Roman" w:cs="Times New Roman"/>
          <w:sz w:val="24"/>
          <w:szCs w:val="24"/>
          <w:lang w:eastAsia="ru-RU"/>
        </w:rPr>
      </w:pPr>
      <w:r w:rsidRPr="005C0645">
        <w:rPr>
          <w:rFonts w:ascii="Times New Roman" w:hAnsi="Times New Roman" w:cs="Times New Roman"/>
          <w:sz w:val="24"/>
          <w:szCs w:val="24"/>
          <w:lang w:eastAsia="ru-RU"/>
        </w:rPr>
        <w:t xml:space="preserve">магистр кафедры </w:t>
      </w:r>
      <w:proofErr w:type="spellStart"/>
      <w:r w:rsidRPr="005C0645">
        <w:rPr>
          <w:rFonts w:ascii="Times New Roman" w:hAnsi="Times New Roman" w:cs="Times New Roman"/>
          <w:sz w:val="24"/>
          <w:szCs w:val="24"/>
          <w:lang w:eastAsia="ru-RU"/>
        </w:rPr>
        <w:t>техносферной</w:t>
      </w:r>
      <w:proofErr w:type="spellEnd"/>
      <w:r w:rsidRPr="005C0645">
        <w:rPr>
          <w:rFonts w:ascii="Times New Roman" w:hAnsi="Times New Roman" w:cs="Times New Roman"/>
          <w:sz w:val="24"/>
          <w:szCs w:val="24"/>
          <w:lang w:eastAsia="ru-RU"/>
        </w:rPr>
        <w:t xml:space="preserve"> </w:t>
      </w:r>
      <w:proofErr w:type="spellStart"/>
      <w:r w:rsidRPr="005C0645">
        <w:rPr>
          <w:rFonts w:ascii="Times New Roman" w:hAnsi="Times New Roman" w:cs="Times New Roman"/>
          <w:sz w:val="24"/>
          <w:szCs w:val="24"/>
          <w:lang w:eastAsia="ru-RU"/>
        </w:rPr>
        <w:t>базопасности</w:t>
      </w:r>
      <w:proofErr w:type="spellEnd"/>
    </w:p>
    <w:p w:rsidR="00215FF7" w:rsidRPr="005C0645" w:rsidRDefault="00215FF7" w:rsidP="005C0645">
      <w:pPr>
        <w:spacing w:after="0" w:line="240" w:lineRule="auto"/>
        <w:jc w:val="right"/>
        <w:rPr>
          <w:rFonts w:ascii="Times New Roman" w:hAnsi="Times New Roman" w:cs="Times New Roman"/>
          <w:sz w:val="24"/>
          <w:szCs w:val="24"/>
          <w:lang w:eastAsia="ru-RU"/>
        </w:rPr>
      </w:pPr>
      <w:r w:rsidRPr="005C0645">
        <w:rPr>
          <w:rFonts w:ascii="Times New Roman" w:hAnsi="Times New Roman" w:cs="Times New Roman"/>
          <w:b/>
          <w:sz w:val="24"/>
          <w:szCs w:val="24"/>
          <w:lang w:eastAsia="ru-RU"/>
        </w:rPr>
        <w:t>А.В. Абрамов</w:t>
      </w:r>
    </w:p>
    <w:p w:rsidR="00215FF7" w:rsidRPr="005C0645" w:rsidRDefault="00215FF7" w:rsidP="005C0645">
      <w:pPr>
        <w:spacing w:after="0" w:line="240" w:lineRule="auto"/>
        <w:jc w:val="right"/>
        <w:rPr>
          <w:rFonts w:ascii="Times New Roman" w:hAnsi="Times New Roman" w:cs="Times New Roman"/>
          <w:sz w:val="24"/>
          <w:szCs w:val="24"/>
          <w:lang w:eastAsia="ru-RU"/>
        </w:rPr>
      </w:pPr>
      <w:r w:rsidRPr="005C0645">
        <w:rPr>
          <w:rFonts w:ascii="Times New Roman" w:hAnsi="Times New Roman" w:cs="Times New Roman"/>
          <w:sz w:val="24"/>
          <w:szCs w:val="24"/>
          <w:lang w:eastAsia="ru-RU"/>
        </w:rPr>
        <w:t>доктор технических наук,</w:t>
      </w:r>
    </w:p>
    <w:p w:rsidR="00215FF7" w:rsidRPr="005C0645" w:rsidRDefault="00215FF7" w:rsidP="005C0645">
      <w:pPr>
        <w:spacing w:after="0" w:line="240" w:lineRule="auto"/>
        <w:jc w:val="right"/>
        <w:rPr>
          <w:rFonts w:ascii="Times New Roman" w:hAnsi="Times New Roman" w:cs="Times New Roman"/>
          <w:sz w:val="24"/>
          <w:szCs w:val="24"/>
          <w:lang w:eastAsia="ru-RU"/>
        </w:rPr>
      </w:pPr>
      <w:r w:rsidRPr="005C0645">
        <w:rPr>
          <w:rFonts w:ascii="Times New Roman" w:hAnsi="Times New Roman" w:cs="Times New Roman"/>
          <w:sz w:val="24"/>
          <w:szCs w:val="24"/>
          <w:lang w:eastAsia="ru-RU"/>
        </w:rPr>
        <w:t xml:space="preserve">доцент кафедры </w:t>
      </w:r>
      <w:proofErr w:type="spellStart"/>
      <w:r w:rsidRPr="005C0645">
        <w:rPr>
          <w:rFonts w:ascii="Times New Roman" w:hAnsi="Times New Roman" w:cs="Times New Roman"/>
          <w:sz w:val="24"/>
          <w:szCs w:val="24"/>
          <w:lang w:eastAsia="ru-RU"/>
        </w:rPr>
        <w:t>техносферной</w:t>
      </w:r>
      <w:proofErr w:type="spellEnd"/>
      <w:r w:rsidRPr="005C0645">
        <w:rPr>
          <w:rFonts w:ascii="Times New Roman" w:hAnsi="Times New Roman" w:cs="Times New Roman"/>
          <w:sz w:val="24"/>
          <w:szCs w:val="24"/>
          <w:lang w:eastAsia="ru-RU"/>
        </w:rPr>
        <w:t xml:space="preserve"> безопасности</w:t>
      </w:r>
    </w:p>
    <w:p w:rsidR="00215FF7" w:rsidRPr="005C0645" w:rsidRDefault="00215FF7" w:rsidP="005C0645">
      <w:pPr>
        <w:spacing w:after="0" w:line="240" w:lineRule="auto"/>
        <w:jc w:val="right"/>
        <w:rPr>
          <w:rFonts w:ascii="Times New Roman" w:hAnsi="Times New Roman" w:cs="Times New Roman"/>
          <w:sz w:val="24"/>
          <w:szCs w:val="24"/>
          <w:lang w:eastAsia="ru-RU"/>
        </w:rPr>
      </w:pPr>
      <w:r w:rsidRPr="005C0645">
        <w:rPr>
          <w:rFonts w:ascii="Times New Roman" w:hAnsi="Times New Roman" w:cs="Times New Roman"/>
          <w:b/>
          <w:sz w:val="24"/>
          <w:szCs w:val="24"/>
          <w:lang w:eastAsia="ru-RU"/>
        </w:rPr>
        <w:t>Н.Н. Малахов</w:t>
      </w:r>
    </w:p>
    <w:p w:rsidR="00215FF7" w:rsidRPr="005C0645" w:rsidRDefault="00215FF7" w:rsidP="005C0645">
      <w:pPr>
        <w:spacing w:after="0" w:line="240" w:lineRule="auto"/>
        <w:jc w:val="right"/>
        <w:rPr>
          <w:rFonts w:ascii="Times New Roman" w:hAnsi="Times New Roman" w:cs="Times New Roman"/>
          <w:sz w:val="24"/>
          <w:szCs w:val="24"/>
          <w:lang w:eastAsia="ru-RU"/>
        </w:rPr>
      </w:pPr>
      <w:r w:rsidRPr="005C0645">
        <w:rPr>
          <w:rFonts w:ascii="Times New Roman" w:hAnsi="Times New Roman" w:cs="Times New Roman"/>
          <w:sz w:val="24"/>
          <w:szCs w:val="24"/>
          <w:lang w:eastAsia="ru-RU"/>
        </w:rPr>
        <w:t xml:space="preserve">магистр кафедры </w:t>
      </w:r>
      <w:proofErr w:type="spellStart"/>
      <w:r w:rsidRPr="005C0645">
        <w:rPr>
          <w:rFonts w:ascii="Times New Roman" w:hAnsi="Times New Roman" w:cs="Times New Roman"/>
          <w:sz w:val="24"/>
          <w:szCs w:val="24"/>
          <w:lang w:eastAsia="ru-RU"/>
        </w:rPr>
        <w:t>техносферной</w:t>
      </w:r>
      <w:proofErr w:type="spellEnd"/>
      <w:r w:rsidRPr="005C0645">
        <w:rPr>
          <w:rFonts w:ascii="Times New Roman" w:hAnsi="Times New Roman" w:cs="Times New Roman"/>
          <w:sz w:val="24"/>
          <w:szCs w:val="24"/>
          <w:lang w:eastAsia="ru-RU"/>
        </w:rPr>
        <w:t xml:space="preserve"> </w:t>
      </w:r>
      <w:proofErr w:type="spellStart"/>
      <w:r w:rsidRPr="005C0645">
        <w:rPr>
          <w:rFonts w:ascii="Times New Roman" w:hAnsi="Times New Roman" w:cs="Times New Roman"/>
          <w:sz w:val="24"/>
          <w:szCs w:val="24"/>
          <w:lang w:eastAsia="ru-RU"/>
        </w:rPr>
        <w:t>базопасности</w:t>
      </w:r>
      <w:proofErr w:type="spellEnd"/>
    </w:p>
    <w:p w:rsidR="00215FF7" w:rsidRPr="005C0645" w:rsidRDefault="00215FF7" w:rsidP="005C0645">
      <w:pPr>
        <w:spacing w:after="0" w:line="240" w:lineRule="auto"/>
        <w:jc w:val="right"/>
        <w:rPr>
          <w:rFonts w:ascii="Times New Roman" w:hAnsi="Times New Roman" w:cs="Times New Roman"/>
          <w:b/>
          <w:sz w:val="24"/>
          <w:szCs w:val="24"/>
          <w:lang w:eastAsia="ru-RU"/>
        </w:rPr>
      </w:pPr>
      <w:r w:rsidRPr="005C0645">
        <w:rPr>
          <w:rFonts w:ascii="Times New Roman" w:hAnsi="Times New Roman" w:cs="Times New Roman"/>
          <w:b/>
          <w:sz w:val="24"/>
          <w:szCs w:val="24"/>
          <w:lang w:eastAsia="ru-RU"/>
        </w:rPr>
        <w:t>И.С. Фадеев</w:t>
      </w:r>
    </w:p>
    <w:p w:rsidR="00215FF7" w:rsidRPr="005C0645" w:rsidRDefault="00215FF7" w:rsidP="005C0645">
      <w:pPr>
        <w:spacing w:after="0" w:line="240" w:lineRule="auto"/>
        <w:jc w:val="right"/>
        <w:rPr>
          <w:rFonts w:ascii="Times New Roman" w:hAnsi="Times New Roman" w:cs="Times New Roman"/>
          <w:sz w:val="24"/>
          <w:szCs w:val="24"/>
          <w:lang w:eastAsia="ru-RU"/>
        </w:rPr>
      </w:pPr>
      <w:r w:rsidRPr="005C0645">
        <w:rPr>
          <w:rFonts w:ascii="Times New Roman" w:hAnsi="Times New Roman" w:cs="Times New Roman"/>
          <w:sz w:val="24"/>
          <w:szCs w:val="24"/>
          <w:lang w:eastAsia="ru-RU"/>
        </w:rPr>
        <w:t xml:space="preserve">магистр кафедры </w:t>
      </w:r>
      <w:proofErr w:type="spellStart"/>
      <w:r w:rsidRPr="005C0645">
        <w:rPr>
          <w:rFonts w:ascii="Times New Roman" w:hAnsi="Times New Roman" w:cs="Times New Roman"/>
          <w:sz w:val="24"/>
          <w:szCs w:val="24"/>
          <w:lang w:eastAsia="ru-RU"/>
        </w:rPr>
        <w:t>техносферной</w:t>
      </w:r>
      <w:proofErr w:type="spellEnd"/>
      <w:r w:rsidRPr="005C0645">
        <w:rPr>
          <w:rFonts w:ascii="Times New Roman" w:hAnsi="Times New Roman" w:cs="Times New Roman"/>
          <w:sz w:val="24"/>
          <w:szCs w:val="24"/>
          <w:lang w:eastAsia="ru-RU"/>
        </w:rPr>
        <w:t xml:space="preserve"> </w:t>
      </w:r>
      <w:proofErr w:type="spellStart"/>
      <w:r w:rsidRPr="005C0645">
        <w:rPr>
          <w:rFonts w:ascii="Times New Roman" w:hAnsi="Times New Roman" w:cs="Times New Roman"/>
          <w:sz w:val="24"/>
          <w:szCs w:val="24"/>
          <w:lang w:eastAsia="ru-RU"/>
        </w:rPr>
        <w:t>базопасности</w:t>
      </w:r>
      <w:proofErr w:type="spellEnd"/>
    </w:p>
    <w:p w:rsidR="00215FF7" w:rsidRPr="005C0645" w:rsidRDefault="00215FF7" w:rsidP="005C0645">
      <w:pPr>
        <w:spacing w:after="0" w:line="240" w:lineRule="auto"/>
        <w:jc w:val="right"/>
        <w:rPr>
          <w:rFonts w:ascii="Times New Roman" w:hAnsi="Times New Roman" w:cs="Times New Roman"/>
          <w:sz w:val="24"/>
          <w:szCs w:val="24"/>
          <w:lang w:eastAsia="ru-RU"/>
        </w:rPr>
      </w:pPr>
    </w:p>
    <w:p w:rsidR="00090EAB" w:rsidRPr="005C0645" w:rsidRDefault="00090EAB" w:rsidP="005C0645">
      <w:pPr>
        <w:spacing w:after="0" w:line="240" w:lineRule="auto"/>
        <w:jc w:val="right"/>
        <w:rPr>
          <w:rFonts w:ascii="Times New Roman" w:hAnsi="Times New Roman" w:cs="Times New Roman"/>
          <w:sz w:val="24"/>
          <w:szCs w:val="24"/>
        </w:rPr>
      </w:pPr>
      <w:r w:rsidRPr="005C0645">
        <w:rPr>
          <w:rFonts w:ascii="Times New Roman" w:hAnsi="Times New Roman" w:cs="Times New Roman"/>
          <w:sz w:val="24"/>
          <w:szCs w:val="24"/>
        </w:rPr>
        <w:t>Орловский государственный университет им. И.С. Тургенева 302026, г</w:t>
      </w:r>
      <w:proofErr w:type="gramStart"/>
      <w:r w:rsidRPr="005C0645">
        <w:rPr>
          <w:rFonts w:ascii="Times New Roman" w:hAnsi="Times New Roman" w:cs="Times New Roman"/>
          <w:sz w:val="24"/>
          <w:szCs w:val="24"/>
        </w:rPr>
        <w:t>.О</w:t>
      </w:r>
      <w:proofErr w:type="gramEnd"/>
      <w:r w:rsidRPr="005C0645">
        <w:rPr>
          <w:rFonts w:ascii="Times New Roman" w:hAnsi="Times New Roman" w:cs="Times New Roman"/>
          <w:sz w:val="24"/>
          <w:szCs w:val="24"/>
        </w:rPr>
        <w:t xml:space="preserve">рел, ул. </w:t>
      </w:r>
      <w:r w:rsidR="00044E2F" w:rsidRPr="005C0645">
        <w:rPr>
          <w:rFonts w:ascii="Times New Roman" w:hAnsi="Times New Roman" w:cs="Times New Roman"/>
          <w:sz w:val="24"/>
          <w:szCs w:val="24"/>
        </w:rPr>
        <w:t>Московская, дом 77</w:t>
      </w:r>
    </w:p>
    <w:p w:rsidR="00090EAB" w:rsidRPr="005C0645" w:rsidRDefault="00090EAB" w:rsidP="005C0645">
      <w:pPr>
        <w:spacing w:after="0" w:line="240" w:lineRule="auto"/>
        <w:jc w:val="right"/>
        <w:rPr>
          <w:rFonts w:ascii="Times New Roman" w:hAnsi="Times New Roman" w:cs="Times New Roman"/>
          <w:sz w:val="24"/>
          <w:szCs w:val="24"/>
        </w:rPr>
      </w:pPr>
      <w:r w:rsidRPr="005C0645">
        <w:rPr>
          <w:rFonts w:ascii="Times New Roman" w:hAnsi="Times New Roman" w:cs="Times New Roman"/>
          <w:sz w:val="24"/>
          <w:szCs w:val="24"/>
        </w:rPr>
        <w:t xml:space="preserve">тел. </w:t>
      </w:r>
      <w:r w:rsidR="001F4B02" w:rsidRPr="005C0645">
        <w:rPr>
          <w:rFonts w:ascii="Times New Roman" w:hAnsi="Times New Roman" w:cs="Times New Roman"/>
          <w:sz w:val="24"/>
          <w:szCs w:val="24"/>
        </w:rPr>
        <w:t>8-977-110-85-16</w:t>
      </w:r>
      <w:r w:rsidRPr="005C0645">
        <w:rPr>
          <w:rFonts w:ascii="Times New Roman" w:hAnsi="Times New Roman" w:cs="Times New Roman"/>
          <w:sz w:val="24"/>
          <w:szCs w:val="24"/>
        </w:rPr>
        <w:t xml:space="preserve">  </w:t>
      </w:r>
    </w:p>
    <w:p w:rsidR="00090EAB" w:rsidRPr="005C0645" w:rsidRDefault="00090EAB" w:rsidP="005C0645">
      <w:pPr>
        <w:spacing w:after="0" w:line="240" w:lineRule="auto"/>
        <w:jc w:val="right"/>
        <w:rPr>
          <w:rFonts w:ascii="Times New Roman" w:hAnsi="Times New Roman" w:cs="Times New Roman"/>
          <w:sz w:val="24"/>
          <w:szCs w:val="24"/>
          <w:lang w:eastAsia="ru-RU"/>
        </w:rPr>
      </w:pPr>
      <w:r w:rsidRPr="005C0645">
        <w:rPr>
          <w:rFonts w:ascii="Times New Roman" w:hAnsi="Times New Roman" w:cs="Times New Roman"/>
          <w:sz w:val="24"/>
          <w:szCs w:val="24"/>
          <w:lang w:val="en-US"/>
        </w:rPr>
        <w:t>E</w:t>
      </w:r>
      <w:r w:rsidRPr="005C0645">
        <w:rPr>
          <w:rFonts w:ascii="Times New Roman" w:hAnsi="Times New Roman" w:cs="Times New Roman"/>
          <w:sz w:val="24"/>
          <w:szCs w:val="24"/>
        </w:rPr>
        <w:t>-</w:t>
      </w:r>
      <w:r w:rsidRPr="005C0645">
        <w:rPr>
          <w:rFonts w:ascii="Times New Roman" w:hAnsi="Times New Roman" w:cs="Times New Roman"/>
          <w:sz w:val="24"/>
          <w:szCs w:val="24"/>
          <w:lang w:val="en-US"/>
        </w:rPr>
        <w:t>mail</w:t>
      </w:r>
      <w:r w:rsidRPr="005C0645">
        <w:rPr>
          <w:rFonts w:ascii="Times New Roman" w:hAnsi="Times New Roman" w:cs="Times New Roman"/>
          <w:sz w:val="24"/>
          <w:szCs w:val="24"/>
        </w:rPr>
        <w:t xml:space="preserve">: </w:t>
      </w:r>
      <w:proofErr w:type="spellStart"/>
      <w:r w:rsidRPr="005C0645">
        <w:rPr>
          <w:rFonts w:ascii="Times New Roman" w:hAnsi="Times New Roman" w:cs="Times New Roman"/>
          <w:sz w:val="24"/>
          <w:szCs w:val="24"/>
          <w:lang w:val="en-US"/>
        </w:rPr>
        <w:t>golanova</w:t>
      </w:r>
      <w:proofErr w:type="spellEnd"/>
      <w:r w:rsidRPr="005C0645">
        <w:rPr>
          <w:rFonts w:ascii="Times New Roman" w:hAnsi="Times New Roman" w:cs="Times New Roman"/>
          <w:sz w:val="24"/>
          <w:szCs w:val="24"/>
        </w:rPr>
        <w:t>-96@</w:t>
      </w:r>
      <w:r w:rsidRPr="005C0645">
        <w:rPr>
          <w:rFonts w:ascii="Times New Roman" w:hAnsi="Times New Roman" w:cs="Times New Roman"/>
          <w:sz w:val="24"/>
          <w:szCs w:val="24"/>
          <w:lang w:val="en-US"/>
        </w:rPr>
        <w:t>mail</w:t>
      </w:r>
      <w:r w:rsidRPr="005C0645">
        <w:rPr>
          <w:rFonts w:ascii="Times New Roman" w:hAnsi="Times New Roman" w:cs="Times New Roman"/>
          <w:sz w:val="24"/>
          <w:szCs w:val="24"/>
        </w:rPr>
        <w:t>.</w:t>
      </w:r>
      <w:proofErr w:type="spellStart"/>
      <w:r w:rsidRPr="005C0645">
        <w:rPr>
          <w:rFonts w:ascii="Times New Roman" w:hAnsi="Times New Roman" w:cs="Times New Roman"/>
          <w:sz w:val="24"/>
          <w:szCs w:val="24"/>
          <w:lang w:val="en-US"/>
        </w:rPr>
        <w:t>ru</w:t>
      </w:r>
      <w:proofErr w:type="spellEnd"/>
    </w:p>
    <w:p w:rsidR="00215FF7" w:rsidRPr="005C0645" w:rsidRDefault="00215FF7" w:rsidP="005C0645">
      <w:pPr>
        <w:spacing w:after="0" w:line="240" w:lineRule="auto"/>
        <w:ind w:firstLine="709"/>
        <w:jc w:val="right"/>
        <w:rPr>
          <w:rFonts w:ascii="Times New Roman" w:hAnsi="Times New Roman" w:cs="Times New Roman"/>
          <w:sz w:val="24"/>
          <w:szCs w:val="24"/>
        </w:rPr>
      </w:pPr>
    </w:p>
    <w:p w:rsidR="00B67DE3" w:rsidRPr="005C0645" w:rsidRDefault="005C0645" w:rsidP="005C0645">
      <w:pPr>
        <w:spacing w:after="0" w:line="240" w:lineRule="auto"/>
        <w:ind w:firstLine="709"/>
        <w:jc w:val="both"/>
        <w:rPr>
          <w:rFonts w:ascii="Times New Roman" w:hAnsi="Times New Roman" w:cs="Times New Roman"/>
          <w:i/>
          <w:sz w:val="24"/>
          <w:szCs w:val="24"/>
        </w:rPr>
      </w:pPr>
      <w:r w:rsidRPr="005C0645">
        <w:rPr>
          <w:rFonts w:ascii="Times New Roman" w:hAnsi="Times New Roman" w:cs="Times New Roman"/>
          <w:i/>
          <w:sz w:val="24"/>
          <w:szCs w:val="24"/>
        </w:rPr>
        <w:t>Аннотация: р</w:t>
      </w:r>
      <w:r w:rsidR="00090EAB" w:rsidRPr="005C0645">
        <w:rPr>
          <w:rFonts w:ascii="Times New Roman" w:hAnsi="Times New Roman" w:cs="Times New Roman"/>
          <w:i/>
          <w:sz w:val="24"/>
          <w:szCs w:val="24"/>
        </w:rPr>
        <w:t>ассмотрены отдельные аспекты обеспечения пожарной безопасности предприятий текстильной промышленности. Показано, что</w:t>
      </w:r>
      <w:r w:rsidR="00095E04" w:rsidRPr="005C0645">
        <w:rPr>
          <w:rFonts w:ascii="Times New Roman" w:hAnsi="Times New Roman" w:cs="Times New Roman"/>
          <w:i/>
          <w:sz w:val="24"/>
          <w:szCs w:val="24"/>
        </w:rPr>
        <w:t xml:space="preserve"> основной научного планирования</w:t>
      </w:r>
      <w:r w:rsidR="00090EAB" w:rsidRPr="005C0645">
        <w:rPr>
          <w:rFonts w:ascii="Times New Roman" w:hAnsi="Times New Roman" w:cs="Times New Roman"/>
          <w:i/>
          <w:sz w:val="24"/>
          <w:szCs w:val="24"/>
        </w:rPr>
        <w:t xml:space="preserve"> является оценка пожарной </w:t>
      </w:r>
      <w:proofErr w:type="spellStart"/>
      <w:r w:rsidR="00090EAB" w:rsidRPr="005C0645">
        <w:rPr>
          <w:rFonts w:ascii="Times New Roman" w:hAnsi="Times New Roman" w:cs="Times New Roman"/>
          <w:i/>
          <w:sz w:val="24"/>
          <w:szCs w:val="24"/>
        </w:rPr>
        <w:t>обстановк</w:t>
      </w:r>
      <w:proofErr w:type="spellEnd"/>
      <w:proofErr w:type="gramStart"/>
      <w:r w:rsidR="00095E04" w:rsidRPr="005C0645">
        <w:rPr>
          <w:rFonts w:ascii="Times New Roman" w:hAnsi="Times New Roman" w:cs="Times New Roman"/>
          <w:i/>
          <w:sz w:val="24"/>
          <w:szCs w:val="24"/>
          <w:lang w:val="en-US"/>
        </w:rPr>
        <w:t>b</w:t>
      </w:r>
      <w:proofErr w:type="gramEnd"/>
      <w:r w:rsidR="00090EAB" w:rsidRPr="005C0645">
        <w:rPr>
          <w:rFonts w:ascii="Times New Roman" w:hAnsi="Times New Roman" w:cs="Times New Roman"/>
          <w:i/>
          <w:sz w:val="24"/>
          <w:szCs w:val="24"/>
        </w:rPr>
        <w:t xml:space="preserve"> в цехах. Приведены результаты оценки, проведенной на примере одного из текстильных предприятий Орловской области. </w:t>
      </w:r>
      <w:r w:rsidR="00095E04" w:rsidRPr="005C0645">
        <w:rPr>
          <w:rFonts w:ascii="Times New Roman" w:hAnsi="Times New Roman" w:cs="Times New Roman"/>
          <w:i/>
          <w:sz w:val="24"/>
          <w:szCs w:val="24"/>
        </w:rPr>
        <w:t>П</w:t>
      </w:r>
      <w:r w:rsidR="00090EAB" w:rsidRPr="005C0645">
        <w:rPr>
          <w:rFonts w:ascii="Times New Roman" w:hAnsi="Times New Roman" w:cs="Times New Roman"/>
          <w:i/>
          <w:sz w:val="24"/>
          <w:szCs w:val="24"/>
        </w:rPr>
        <w:t xml:space="preserve">роведен расчет параметров пожарной нагрузки, определена категория </w:t>
      </w:r>
      <w:r w:rsidR="00B67DE3" w:rsidRPr="005C0645">
        <w:rPr>
          <w:rFonts w:ascii="Times New Roman" w:hAnsi="Times New Roman" w:cs="Times New Roman"/>
          <w:i/>
          <w:sz w:val="24"/>
          <w:szCs w:val="24"/>
        </w:rPr>
        <w:t xml:space="preserve">помещений по </w:t>
      </w:r>
      <w:proofErr w:type="spellStart"/>
      <w:r w:rsidR="00B67DE3" w:rsidRPr="005C0645">
        <w:rPr>
          <w:rFonts w:ascii="Times New Roman" w:hAnsi="Times New Roman" w:cs="Times New Roman"/>
          <w:i/>
          <w:sz w:val="24"/>
          <w:szCs w:val="24"/>
        </w:rPr>
        <w:t>пожаровзрывоопасности</w:t>
      </w:r>
      <w:proofErr w:type="spellEnd"/>
      <w:r w:rsidR="00B67DE3" w:rsidRPr="005C0645">
        <w:rPr>
          <w:rFonts w:ascii="Times New Roman" w:hAnsi="Times New Roman" w:cs="Times New Roman"/>
          <w:i/>
          <w:sz w:val="24"/>
          <w:szCs w:val="24"/>
        </w:rPr>
        <w:t>.</w:t>
      </w:r>
    </w:p>
    <w:p w:rsidR="00090EAB" w:rsidRPr="005C0645" w:rsidRDefault="00B67DE3" w:rsidP="005C0645">
      <w:pPr>
        <w:spacing w:after="0" w:line="240" w:lineRule="auto"/>
        <w:ind w:firstLine="709"/>
        <w:jc w:val="both"/>
        <w:rPr>
          <w:rFonts w:ascii="Times New Roman" w:hAnsi="Times New Roman" w:cs="Times New Roman"/>
          <w:i/>
          <w:sz w:val="24"/>
          <w:szCs w:val="24"/>
        </w:rPr>
      </w:pPr>
      <w:r w:rsidRPr="005C0645">
        <w:rPr>
          <w:rFonts w:ascii="Times New Roman" w:hAnsi="Times New Roman" w:cs="Times New Roman"/>
          <w:b/>
          <w:i/>
          <w:sz w:val="24"/>
          <w:szCs w:val="24"/>
        </w:rPr>
        <w:t>Ключевые слова</w:t>
      </w:r>
      <w:r w:rsidRPr="005C0645">
        <w:rPr>
          <w:rFonts w:ascii="Times New Roman" w:hAnsi="Times New Roman" w:cs="Times New Roman"/>
          <w:i/>
          <w:sz w:val="24"/>
          <w:szCs w:val="24"/>
        </w:rPr>
        <w:t>: текстильная промышленность,</w:t>
      </w:r>
      <w:proofErr w:type="gramStart"/>
      <w:r w:rsidRPr="005C0645">
        <w:rPr>
          <w:rFonts w:ascii="Times New Roman" w:hAnsi="Times New Roman" w:cs="Times New Roman"/>
          <w:i/>
          <w:sz w:val="24"/>
          <w:szCs w:val="24"/>
        </w:rPr>
        <w:t xml:space="preserve"> </w:t>
      </w:r>
      <w:r w:rsidR="005C0645" w:rsidRPr="005C0645">
        <w:rPr>
          <w:rFonts w:ascii="Times New Roman" w:hAnsi="Times New Roman" w:cs="Times New Roman"/>
          <w:i/>
          <w:sz w:val="24"/>
          <w:szCs w:val="24"/>
        </w:rPr>
        <w:t>,</w:t>
      </w:r>
      <w:proofErr w:type="gramEnd"/>
      <w:r w:rsidR="005C0645" w:rsidRPr="005C0645">
        <w:rPr>
          <w:rFonts w:ascii="Times New Roman" w:hAnsi="Times New Roman" w:cs="Times New Roman"/>
          <w:i/>
          <w:sz w:val="24"/>
          <w:szCs w:val="24"/>
        </w:rPr>
        <w:t xml:space="preserve"> пожарная нагрузка, категория </w:t>
      </w:r>
      <w:r w:rsidRPr="005C0645">
        <w:rPr>
          <w:rFonts w:ascii="Times New Roman" w:hAnsi="Times New Roman" w:cs="Times New Roman"/>
          <w:i/>
          <w:sz w:val="24"/>
          <w:szCs w:val="24"/>
        </w:rPr>
        <w:t xml:space="preserve"> </w:t>
      </w:r>
      <w:proofErr w:type="spellStart"/>
      <w:r w:rsidR="005C0645" w:rsidRPr="005C0645">
        <w:rPr>
          <w:rFonts w:ascii="Times New Roman" w:hAnsi="Times New Roman" w:cs="Times New Roman"/>
          <w:i/>
          <w:sz w:val="24"/>
          <w:szCs w:val="24"/>
        </w:rPr>
        <w:t>пожаровзрывоопасности</w:t>
      </w:r>
      <w:proofErr w:type="spellEnd"/>
      <w:r w:rsidR="005C0645" w:rsidRPr="005C0645">
        <w:rPr>
          <w:rFonts w:ascii="Times New Roman" w:hAnsi="Times New Roman" w:cs="Times New Roman"/>
          <w:i/>
          <w:sz w:val="24"/>
          <w:szCs w:val="24"/>
        </w:rPr>
        <w:t>.</w:t>
      </w:r>
    </w:p>
    <w:p w:rsidR="005C0645" w:rsidRPr="005C0645" w:rsidRDefault="005C0645" w:rsidP="005C0645">
      <w:pPr>
        <w:spacing w:after="0" w:line="240" w:lineRule="auto"/>
        <w:ind w:firstLine="709"/>
        <w:jc w:val="both"/>
        <w:rPr>
          <w:rFonts w:ascii="Times New Roman" w:hAnsi="Times New Roman" w:cs="Times New Roman"/>
          <w:i/>
          <w:sz w:val="24"/>
          <w:szCs w:val="24"/>
        </w:rPr>
      </w:pPr>
    </w:p>
    <w:p w:rsidR="00095E04" w:rsidRPr="005C0645" w:rsidRDefault="00101828" w:rsidP="005C0645">
      <w:pPr>
        <w:spacing w:after="0" w:line="240" w:lineRule="auto"/>
        <w:ind w:firstLine="709"/>
        <w:jc w:val="both"/>
        <w:rPr>
          <w:rFonts w:ascii="Times New Roman" w:hAnsi="Times New Roman" w:cs="Times New Roman"/>
          <w:sz w:val="24"/>
          <w:szCs w:val="24"/>
        </w:rPr>
      </w:pPr>
      <w:r w:rsidRPr="005C0645">
        <w:rPr>
          <w:rFonts w:ascii="Times New Roman" w:hAnsi="Times New Roman" w:cs="Times New Roman"/>
          <w:sz w:val="24"/>
          <w:szCs w:val="24"/>
        </w:rPr>
        <w:t>Активное развитие предприятий текстильной промышленности позволило сформировать первый технологический уклад в 1770-х годах. До настоящего момента т</w:t>
      </w:r>
      <w:r w:rsidR="00C07E5B" w:rsidRPr="005C0645">
        <w:rPr>
          <w:rFonts w:ascii="Times New Roman" w:hAnsi="Times New Roman" w:cs="Times New Roman"/>
          <w:sz w:val="24"/>
          <w:szCs w:val="24"/>
        </w:rPr>
        <w:t>екстильн</w:t>
      </w:r>
      <w:r w:rsidRPr="005C0645">
        <w:rPr>
          <w:rFonts w:ascii="Times New Roman" w:hAnsi="Times New Roman" w:cs="Times New Roman"/>
          <w:sz w:val="24"/>
          <w:szCs w:val="24"/>
        </w:rPr>
        <w:t>ая п</w:t>
      </w:r>
      <w:r w:rsidR="00C07E5B" w:rsidRPr="005C0645">
        <w:rPr>
          <w:rFonts w:ascii="Times New Roman" w:hAnsi="Times New Roman" w:cs="Times New Roman"/>
          <w:sz w:val="24"/>
          <w:szCs w:val="24"/>
        </w:rPr>
        <w:t xml:space="preserve">ромышленность относится к числу важнейших </w:t>
      </w:r>
      <w:r w:rsidRPr="005C0645">
        <w:rPr>
          <w:rFonts w:ascii="Times New Roman" w:hAnsi="Times New Roman" w:cs="Times New Roman"/>
          <w:sz w:val="24"/>
          <w:szCs w:val="24"/>
        </w:rPr>
        <w:t>отраслей</w:t>
      </w:r>
      <w:r w:rsidR="00C07E5B" w:rsidRPr="005C0645">
        <w:rPr>
          <w:rFonts w:ascii="Times New Roman" w:hAnsi="Times New Roman" w:cs="Times New Roman"/>
          <w:sz w:val="24"/>
          <w:szCs w:val="24"/>
        </w:rPr>
        <w:t xml:space="preserve"> современной </w:t>
      </w:r>
      <w:r w:rsidRPr="005C0645">
        <w:rPr>
          <w:rFonts w:ascii="Times New Roman" w:hAnsi="Times New Roman" w:cs="Times New Roman"/>
          <w:sz w:val="24"/>
          <w:szCs w:val="24"/>
        </w:rPr>
        <w:t xml:space="preserve">экономики, </w:t>
      </w:r>
      <w:r w:rsidR="00095E04" w:rsidRPr="005C0645">
        <w:rPr>
          <w:rFonts w:ascii="Times New Roman" w:hAnsi="Times New Roman" w:cs="Times New Roman"/>
          <w:sz w:val="24"/>
          <w:szCs w:val="24"/>
        </w:rPr>
        <w:t xml:space="preserve">во многом формирующих </w:t>
      </w:r>
      <w:r w:rsidR="006F29AE" w:rsidRPr="005C0645">
        <w:rPr>
          <w:rFonts w:ascii="Times New Roman" w:hAnsi="Times New Roman" w:cs="Times New Roman"/>
          <w:sz w:val="24"/>
          <w:szCs w:val="24"/>
        </w:rPr>
        <w:t>национальн</w:t>
      </w:r>
      <w:r w:rsidR="00095E04" w:rsidRPr="005C0645">
        <w:rPr>
          <w:rFonts w:ascii="Times New Roman" w:hAnsi="Times New Roman" w:cs="Times New Roman"/>
          <w:sz w:val="24"/>
          <w:szCs w:val="24"/>
        </w:rPr>
        <w:t xml:space="preserve">ую </w:t>
      </w:r>
      <w:r w:rsidR="006F29AE" w:rsidRPr="005C0645">
        <w:rPr>
          <w:rFonts w:ascii="Times New Roman" w:hAnsi="Times New Roman" w:cs="Times New Roman"/>
          <w:sz w:val="24"/>
          <w:szCs w:val="24"/>
        </w:rPr>
        <w:t>безопасност</w:t>
      </w:r>
      <w:r w:rsidR="00095E04" w:rsidRPr="005C0645">
        <w:rPr>
          <w:rFonts w:ascii="Times New Roman" w:hAnsi="Times New Roman" w:cs="Times New Roman"/>
          <w:sz w:val="24"/>
          <w:szCs w:val="24"/>
        </w:rPr>
        <w:t>ь страны</w:t>
      </w:r>
      <w:r w:rsidR="006F29AE" w:rsidRPr="005C0645">
        <w:rPr>
          <w:rFonts w:ascii="Times New Roman" w:hAnsi="Times New Roman" w:cs="Times New Roman"/>
          <w:sz w:val="24"/>
          <w:szCs w:val="24"/>
        </w:rPr>
        <w:t xml:space="preserve">. </w:t>
      </w:r>
      <w:r w:rsidR="00095E04" w:rsidRPr="005C0645">
        <w:rPr>
          <w:rFonts w:ascii="Times New Roman" w:hAnsi="Times New Roman" w:cs="Times New Roman"/>
          <w:sz w:val="24"/>
          <w:szCs w:val="24"/>
        </w:rPr>
        <w:t>Т</w:t>
      </w:r>
      <w:r w:rsidRPr="005C0645">
        <w:rPr>
          <w:rFonts w:ascii="Times New Roman" w:hAnsi="Times New Roman" w:cs="Times New Roman"/>
          <w:sz w:val="24"/>
          <w:szCs w:val="24"/>
        </w:rPr>
        <w:t>екстильны</w:t>
      </w:r>
      <w:r w:rsidR="00095E04" w:rsidRPr="005C0645">
        <w:rPr>
          <w:rFonts w:ascii="Times New Roman" w:hAnsi="Times New Roman" w:cs="Times New Roman"/>
          <w:sz w:val="24"/>
          <w:szCs w:val="24"/>
        </w:rPr>
        <w:t xml:space="preserve">е </w:t>
      </w:r>
      <w:r w:rsidRPr="005C0645">
        <w:rPr>
          <w:rFonts w:ascii="Times New Roman" w:hAnsi="Times New Roman" w:cs="Times New Roman"/>
          <w:sz w:val="24"/>
          <w:szCs w:val="24"/>
        </w:rPr>
        <w:t>материал</w:t>
      </w:r>
      <w:r w:rsidR="00095E04" w:rsidRPr="005C0645">
        <w:rPr>
          <w:rFonts w:ascii="Times New Roman" w:hAnsi="Times New Roman" w:cs="Times New Roman"/>
          <w:sz w:val="24"/>
          <w:szCs w:val="24"/>
        </w:rPr>
        <w:t xml:space="preserve">ы </w:t>
      </w:r>
      <w:proofErr w:type="spellStart"/>
      <w:r w:rsidR="00095E04" w:rsidRPr="005C0645">
        <w:rPr>
          <w:rFonts w:ascii="Times New Roman" w:hAnsi="Times New Roman" w:cs="Times New Roman"/>
          <w:sz w:val="24"/>
          <w:szCs w:val="24"/>
        </w:rPr>
        <w:t>исопльзуются</w:t>
      </w:r>
      <w:proofErr w:type="spellEnd"/>
      <w:r w:rsidR="00095E04" w:rsidRPr="005C0645">
        <w:rPr>
          <w:rFonts w:ascii="Times New Roman" w:hAnsi="Times New Roman" w:cs="Times New Roman"/>
          <w:sz w:val="24"/>
          <w:szCs w:val="24"/>
        </w:rPr>
        <w:t xml:space="preserve"> при производстве одежды, в строительстве, </w:t>
      </w:r>
      <w:r w:rsidR="006F29AE" w:rsidRPr="005C0645">
        <w:rPr>
          <w:rFonts w:ascii="Times New Roman" w:hAnsi="Times New Roman" w:cs="Times New Roman"/>
          <w:sz w:val="24"/>
          <w:szCs w:val="24"/>
        </w:rPr>
        <w:t>автомобиле</w:t>
      </w:r>
      <w:r w:rsidR="00095E04" w:rsidRPr="005C0645">
        <w:rPr>
          <w:rFonts w:ascii="Times New Roman" w:hAnsi="Times New Roman" w:cs="Times New Roman"/>
          <w:sz w:val="24"/>
          <w:szCs w:val="24"/>
        </w:rPr>
        <w:t>- и ави</w:t>
      </w:r>
      <w:proofErr w:type="gramStart"/>
      <w:r w:rsidR="00095E04" w:rsidRPr="005C0645">
        <w:rPr>
          <w:rFonts w:ascii="Times New Roman" w:hAnsi="Times New Roman" w:cs="Times New Roman"/>
          <w:sz w:val="24"/>
          <w:szCs w:val="24"/>
        </w:rPr>
        <w:t>а-</w:t>
      </w:r>
      <w:proofErr w:type="gramEnd"/>
      <w:r w:rsidR="00095E04" w:rsidRPr="005C0645">
        <w:rPr>
          <w:rFonts w:ascii="Times New Roman" w:hAnsi="Times New Roman" w:cs="Times New Roman"/>
          <w:sz w:val="24"/>
          <w:szCs w:val="24"/>
        </w:rPr>
        <w:t xml:space="preserve"> строении</w:t>
      </w:r>
      <w:r w:rsidR="006F29AE" w:rsidRPr="005C0645">
        <w:rPr>
          <w:rFonts w:ascii="Times New Roman" w:hAnsi="Times New Roman" w:cs="Times New Roman"/>
          <w:sz w:val="24"/>
          <w:szCs w:val="24"/>
        </w:rPr>
        <w:t xml:space="preserve">, </w:t>
      </w:r>
      <w:r w:rsidR="00095E04" w:rsidRPr="005C0645">
        <w:rPr>
          <w:rFonts w:ascii="Times New Roman" w:hAnsi="Times New Roman" w:cs="Times New Roman"/>
          <w:sz w:val="24"/>
          <w:szCs w:val="24"/>
        </w:rPr>
        <w:t xml:space="preserve">производстве </w:t>
      </w:r>
      <w:r w:rsidR="006F29AE" w:rsidRPr="005C0645">
        <w:rPr>
          <w:rFonts w:ascii="Times New Roman" w:hAnsi="Times New Roman" w:cs="Times New Roman"/>
          <w:sz w:val="24"/>
          <w:szCs w:val="24"/>
        </w:rPr>
        <w:t>военной техники</w:t>
      </w:r>
      <w:r w:rsidRPr="005C0645">
        <w:rPr>
          <w:rFonts w:ascii="Times New Roman" w:hAnsi="Times New Roman" w:cs="Times New Roman"/>
          <w:sz w:val="24"/>
          <w:szCs w:val="24"/>
        </w:rPr>
        <w:t xml:space="preserve">, </w:t>
      </w:r>
      <w:r w:rsidR="00095E04" w:rsidRPr="005C0645">
        <w:rPr>
          <w:rFonts w:ascii="Times New Roman" w:hAnsi="Times New Roman" w:cs="Times New Roman"/>
          <w:sz w:val="24"/>
          <w:szCs w:val="24"/>
        </w:rPr>
        <w:t xml:space="preserve"> </w:t>
      </w:r>
      <w:r w:rsidRPr="005C0645">
        <w:rPr>
          <w:rFonts w:ascii="Times New Roman" w:hAnsi="Times New Roman" w:cs="Times New Roman"/>
          <w:sz w:val="24"/>
          <w:szCs w:val="24"/>
        </w:rPr>
        <w:t>медицин</w:t>
      </w:r>
      <w:r w:rsidR="00095E04" w:rsidRPr="005C0645">
        <w:rPr>
          <w:rFonts w:ascii="Times New Roman" w:hAnsi="Times New Roman" w:cs="Times New Roman"/>
          <w:sz w:val="24"/>
          <w:szCs w:val="24"/>
        </w:rPr>
        <w:t xml:space="preserve">е </w:t>
      </w:r>
      <w:r w:rsidR="005C0645" w:rsidRPr="005C0645">
        <w:rPr>
          <w:rFonts w:ascii="Times New Roman" w:hAnsi="Times New Roman" w:cs="Times New Roman"/>
          <w:sz w:val="24"/>
          <w:szCs w:val="24"/>
        </w:rPr>
        <w:t>и т.д.</w:t>
      </w:r>
      <w:r w:rsidR="006F29AE" w:rsidRPr="005C0645">
        <w:rPr>
          <w:rFonts w:ascii="Times New Roman" w:hAnsi="Times New Roman" w:cs="Times New Roman"/>
          <w:sz w:val="24"/>
          <w:szCs w:val="24"/>
        </w:rPr>
        <w:t xml:space="preserve"> </w:t>
      </w:r>
    </w:p>
    <w:p w:rsidR="006F29AE" w:rsidRPr="005C0645" w:rsidRDefault="00095E04" w:rsidP="005C0645">
      <w:pPr>
        <w:spacing w:after="0" w:line="240" w:lineRule="auto"/>
        <w:ind w:firstLine="709"/>
        <w:jc w:val="both"/>
        <w:rPr>
          <w:rFonts w:ascii="Times New Roman" w:hAnsi="Times New Roman" w:cs="Times New Roman"/>
          <w:sz w:val="24"/>
          <w:szCs w:val="24"/>
        </w:rPr>
      </w:pPr>
      <w:r w:rsidRPr="005C0645">
        <w:rPr>
          <w:rFonts w:ascii="Times New Roman" w:hAnsi="Times New Roman" w:cs="Times New Roman"/>
          <w:sz w:val="24"/>
          <w:szCs w:val="24"/>
        </w:rPr>
        <w:t>П</w:t>
      </w:r>
      <w:r w:rsidR="00101828" w:rsidRPr="005C0645">
        <w:rPr>
          <w:rFonts w:ascii="Times New Roman" w:hAnsi="Times New Roman" w:cs="Times New Roman"/>
          <w:sz w:val="24"/>
          <w:szCs w:val="24"/>
        </w:rPr>
        <w:t xml:space="preserve">роцесс </w:t>
      </w:r>
      <w:r w:rsidRPr="005C0645">
        <w:rPr>
          <w:rFonts w:ascii="Times New Roman" w:hAnsi="Times New Roman" w:cs="Times New Roman"/>
          <w:sz w:val="24"/>
          <w:szCs w:val="24"/>
        </w:rPr>
        <w:t xml:space="preserve">производства </w:t>
      </w:r>
      <w:r w:rsidR="00101828" w:rsidRPr="005C0645">
        <w:rPr>
          <w:rFonts w:ascii="Times New Roman" w:hAnsi="Times New Roman" w:cs="Times New Roman"/>
          <w:sz w:val="24"/>
          <w:szCs w:val="24"/>
        </w:rPr>
        <w:t>текстильн</w:t>
      </w:r>
      <w:r w:rsidRPr="005C0645">
        <w:rPr>
          <w:rFonts w:ascii="Times New Roman" w:hAnsi="Times New Roman" w:cs="Times New Roman"/>
          <w:sz w:val="24"/>
          <w:szCs w:val="24"/>
        </w:rPr>
        <w:t xml:space="preserve">ой продукции слабо </w:t>
      </w:r>
      <w:r w:rsidR="00AC5734" w:rsidRPr="005C0645">
        <w:rPr>
          <w:rFonts w:ascii="Times New Roman" w:hAnsi="Times New Roman" w:cs="Times New Roman"/>
          <w:sz w:val="24"/>
          <w:szCs w:val="24"/>
        </w:rPr>
        <w:t xml:space="preserve">автоматизирован, из-за чего </w:t>
      </w:r>
      <w:r w:rsidRPr="005C0645">
        <w:rPr>
          <w:rFonts w:ascii="Times New Roman" w:hAnsi="Times New Roman" w:cs="Times New Roman"/>
          <w:sz w:val="24"/>
          <w:szCs w:val="24"/>
        </w:rPr>
        <w:t xml:space="preserve">количество рабочих мест на предприятиях отрасли достаточно велико. </w:t>
      </w:r>
      <w:r w:rsidR="00AC5734" w:rsidRPr="005C0645">
        <w:rPr>
          <w:rFonts w:ascii="Times New Roman" w:hAnsi="Times New Roman" w:cs="Times New Roman"/>
          <w:sz w:val="24"/>
          <w:szCs w:val="24"/>
        </w:rPr>
        <w:t>С одной стороны это существенно повышает р</w:t>
      </w:r>
      <w:r w:rsidR="006F29AE" w:rsidRPr="005C0645">
        <w:rPr>
          <w:rFonts w:ascii="Times New Roman" w:hAnsi="Times New Roman" w:cs="Times New Roman"/>
          <w:sz w:val="24"/>
          <w:szCs w:val="24"/>
        </w:rPr>
        <w:t>оль предприятий текстильной промышленности в условиях экономического кризиса</w:t>
      </w:r>
      <w:r w:rsidR="00AC5734" w:rsidRPr="005C0645">
        <w:rPr>
          <w:rFonts w:ascii="Times New Roman" w:hAnsi="Times New Roman" w:cs="Times New Roman"/>
          <w:sz w:val="24"/>
          <w:szCs w:val="24"/>
        </w:rPr>
        <w:t xml:space="preserve">, с другой </w:t>
      </w:r>
      <w:r w:rsidRPr="005C0645">
        <w:rPr>
          <w:rFonts w:ascii="Times New Roman" w:hAnsi="Times New Roman" w:cs="Times New Roman"/>
          <w:sz w:val="24"/>
          <w:szCs w:val="24"/>
        </w:rPr>
        <w:t xml:space="preserve">– </w:t>
      </w:r>
      <w:r w:rsidR="00AC5734" w:rsidRPr="005C0645">
        <w:rPr>
          <w:rFonts w:ascii="Times New Roman" w:hAnsi="Times New Roman" w:cs="Times New Roman"/>
          <w:sz w:val="24"/>
          <w:szCs w:val="24"/>
        </w:rPr>
        <w:t>требует повышенного внимания к вопросам обеспечения безопасности</w:t>
      </w:r>
      <w:r w:rsidR="00C07E5B" w:rsidRPr="005C0645">
        <w:rPr>
          <w:rFonts w:ascii="Times New Roman" w:hAnsi="Times New Roman" w:cs="Times New Roman"/>
          <w:sz w:val="24"/>
          <w:szCs w:val="24"/>
        </w:rPr>
        <w:t xml:space="preserve">. </w:t>
      </w:r>
    </w:p>
    <w:p w:rsidR="00095E04" w:rsidRPr="005C0645" w:rsidRDefault="008322E7" w:rsidP="005C0645">
      <w:pPr>
        <w:spacing w:after="0" w:line="240" w:lineRule="auto"/>
        <w:ind w:firstLine="709"/>
        <w:jc w:val="both"/>
        <w:rPr>
          <w:rFonts w:ascii="Times New Roman" w:hAnsi="Times New Roman" w:cs="Times New Roman"/>
          <w:sz w:val="24"/>
          <w:szCs w:val="24"/>
        </w:rPr>
      </w:pPr>
      <w:r w:rsidRPr="005C0645">
        <w:rPr>
          <w:rFonts w:ascii="Times New Roman" w:hAnsi="Times New Roman" w:cs="Times New Roman"/>
          <w:sz w:val="24"/>
          <w:szCs w:val="24"/>
        </w:rPr>
        <w:t xml:space="preserve">Текстильное производство характеризуется высокой пожарной опасностью, </w:t>
      </w:r>
      <w:r w:rsidR="00AC5734" w:rsidRPr="005C0645">
        <w:rPr>
          <w:rFonts w:ascii="Times New Roman" w:hAnsi="Times New Roman" w:cs="Times New Roman"/>
          <w:sz w:val="24"/>
          <w:szCs w:val="24"/>
        </w:rPr>
        <w:t xml:space="preserve">что связано с </w:t>
      </w:r>
      <w:r w:rsidRPr="005C0645">
        <w:rPr>
          <w:rFonts w:ascii="Times New Roman" w:hAnsi="Times New Roman" w:cs="Times New Roman"/>
          <w:sz w:val="24"/>
          <w:szCs w:val="24"/>
        </w:rPr>
        <w:t>большим количеством горючего материала и тепловых источников. По всей технологической цепочке могут образовываться искры, тлеющие и перегретые частицы, выз</w:t>
      </w:r>
      <w:r w:rsidR="00095E04" w:rsidRPr="005C0645">
        <w:rPr>
          <w:rFonts w:ascii="Times New Roman" w:hAnsi="Times New Roman" w:cs="Times New Roman"/>
          <w:sz w:val="24"/>
          <w:szCs w:val="24"/>
        </w:rPr>
        <w:t xml:space="preserve">ывающие </w:t>
      </w:r>
      <w:r w:rsidRPr="005C0645">
        <w:rPr>
          <w:rFonts w:ascii="Times New Roman" w:hAnsi="Times New Roman" w:cs="Times New Roman"/>
          <w:sz w:val="24"/>
          <w:szCs w:val="24"/>
        </w:rPr>
        <w:t>пожар. Поскольку работа большинства станков связана друг с другом системой аспирации, то есть большой риск распространения огня на другие участки производства. Большое количество пыли создают установки, работа которых сопряжена с использованием мощных воздушных потоков (</w:t>
      </w:r>
      <w:proofErr w:type="spellStart"/>
      <w:r w:rsidRPr="005C0645">
        <w:rPr>
          <w:rFonts w:ascii="Times New Roman" w:hAnsi="Times New Roman" w:cs="Times New Roman"/>
          <w:sz w:val="24"/>
          <w:szCs w:val="24"/>
        </w:rPr>
        <w:t>пневмосистемы</w:t>
      </w:r>
      <w:proofErr w:type="spellEnd"/>
      <w:r w:rsidRPr="005C0645">
        <w:rPr>
          <w:rFonts w:ascii="Times New Roman" w:hAnsi="Times New Roman" w:cs="Times New Roman"/>
          <w:sz w:val="24"/>
          <w:szCs w:val="24"/>
        </w:rPr>
        <w:t xml:space="preserve">). </w:t>
      </w:r>
    </w:p>
    <w:p w:rsidR="008322E7" w:rsidRPr="005C0645" w:rsidRDefault="008322E7" w:rsidP="005C0645">
      <w:pPr>
        <w:spacing w:after="0" w:line="240" w:lineRule="auto"/>
        <w:ind w:firstLine="709"/>
        <w:jc w:val="both"/>
        <w:rPr>
          <w:rFonts w:ascii="Times New Roman" w:hAnsi="Times New Roman" w:cs="Times New Roman"/>
          <w:sz w:val="24"/>
          <w:szCs w:val="24"/>
        </w:rPr>
      </w:pPr>
      <w:r w:rsidRPr="005C0645">
        <w:rPr>
          <w:rFonts w:ascii="Times New Roman" w:hAnsi="Times New Roman" w:cs="Times New Roman"/>
          <w:sz w:val="24"/>
          <w:szCs w:val="24"/>
        </w:rPr>
        <w:t xml:space="preserve">Согласно </w:t>
      </w:r>
      <w:r w:rsidR="00C07E5B" w:rsidRPr="005C0645">
        <w:rPr>
          <w:rFonts w:ascii="Times New Roman" w:hAnsi="Times New Roman" w:cs="Times New Roman"/>
          <w:sz w:val="24"/>
          <w:szCs w:val="24"/>
        </w:rPr>
        <w:t>статистическим данным МЧС России на предприятиях легкой промышленности было зарегистрировано 2,47% от общего числа пожаров в РФ</w:t>
      </w:r>
      <w:r w:rsidRPr="005C0645">
        <w:rPr>
          <w:rFonts w:ascii="Times New Roman" w:hAnsi="Times New Roman" w:cs="Times New Roman"/>
          <w:sz w:val="24"/>
          <w:szCs w:val="24"/>
        </w:rPr>
        <w:t xml:space="preserve"> (таблица 1)</w:t>
      </w:r>
      <w:r w:rsidR="00C07E5B" w:rsidRPr="005C0645">
        <w:rPr>
          <w:rFonts w:ascii="Times New Roman" w:hAnsi="Times New Roman" w:cs="Times New Roman"/>
          <w:sz w:val="24"/>
          <w:szCs w:val="24"/>
        </w:rPr>
        <w:t xml:space="preserve">. </w:t>
      </w:r>
      <w:r w:rsidR="00AC5734" w:rsidRPr="005C0645">
        <w:rPr>
          <w:rFonts w:ascii="Times New Roman" w:hAnsi="Times New Roman" w:cs="Times New Roman"/>
          <w:sz w:val="24"/>
          <w:szCs w:val="24"/>
        </w:rPr>
        <w:t xml:space="preserve">Высокая пожарная нагрузка в цехах текстильных предприятий характеризуется большой массой горючих материалов и высокой теплотой сгорания, делающих возможным быстрое распространение пожара с высокой степенью тепловыделения. Таким </w:t>
      </w:r>
      <w:r w:rsidR="00AC5734" w:rsidRPr="005C0645">
        <w:rPr>
          <w:rFonts w:ascii="Times New Roman" w:hAnsi="Times New Roman" w:cs="Times New Roman"/>
          <w:sz w:val="24"/>
          <w:szCs w:val="24"/>
        </w:rPr>
        <w:lastRenderedPageBreak/>
        <w:t>образом, даже незначительные возгорания могут приводить к пожарам со значительными последствиями.</w:t>
      </w:r>
    </w:p>
    <w:p w:rsidR="00C07E5B" w:rsidRPr="005C0645" w:rsidRDefault="00C07E5B" w:rsidP="005C0645">
      <w:pPr>
        <w:spacing w:after="0" w:line="240" w:lineRule="auto"/>
        <w:ind w:firstLine="709"/>
        <w:jc w:val="both"/>
        <w:rPr>
          <w:rFonts w:ascii="Times New Roman" w:hAnsi="Times New Roman" w:cs="Times New Roman"/>
          <w:sz w:val="24"/>
          <w:szCs w:val="24"/>
        </w:rPr>
      </w:pPr>
      <w:r w:rsidRPr="005C0645">
        <w:rPr>
          <w:rFonts w:ascii="Times New Roman" w:hAnsi="Times New Roman" w:cs="Times New Roman"/>
          <w:sz w:val="24"/>
          <w:szCs w:val="24"/>
        </w:rPr>
        <w:t xml:space="preserve">Таблица </w:t>
      </w:r>
      <w:r w:rsidR="00F2439A" w:rsidRPr="005C0645">
        <w:rPr>
          <w:rFonts w:ascii="Times New Roman" w:hAnsi="Times New Roman" w:cs="Times New Roman"/>
          <w:sz w:val="24"/>
          <w:szCs w:val="24"/>
        </w:rPr>
        <w:t>1 –</w:t>
      </w:r>
      <w:r w:rsidR="00AC5734" w:rsidRPr="005C0645">
        <w:rPr>
          <w:rFonts w:ascii="Times New Roman" w:hAnsi="Times New Roman" w:cs="Times New Roman"/>
          <w:sz w:val="24"/>
          <w:szCs w:val="24"/>
        </w:rPr>
        <w:t xml:space="preserve"> </w:t>
      </w:r>
      <w:r w:rsidRPr="005C0645">
        <w:rPr>
          <w:rFonts w:ascii="Times New Roman" w:hAnsi="Times New Roman" w:cs="Times New Roman"/>
          <w:sz w:val="24"/>
          <w:szCs w:val="24"/>
        </w:rPr>
        <w:t xml:space="preserve">Частота возникновения пожаров в зданиях </w:t>
      </w:r>
      <w:r w:rsidR="005D2CAD" w:rsidRPr="005C0645">
        <w:rPr>
          <w:rFonts w:ascii="Times New Roman" w:hAnsi="Times New Roman" w:cs="Times New Roman"/>
          <w:sz w:val="24"/>
          <w:szCs w:val="24"/>
        </w:rPr>
        <w:t>производственных объектов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8"/>
        <w:gridCol w:w="3509"/>
      </w:tblGrid>
      <w:tr w:rsidR="00EF303C" w:rsidRPr="005C0645" w:rsidTr="00EF303C">
        <w:trPr>
          <w:jc w:val="center"/>
        </w:trPr>
        <w:tc>
          <w:tcPr>
            <w:tcW w:w="5748" w:type="dxa"/>
            <w:tcBorders>
              <w:top w:val="single" w:sz="4" w:space="0" w:color="auto"/>
              <w:left w:val="single" w:sz="4" w:space="0" w:color="auto"/>
              <w:bottom w:val="single" w:sz="4" w:space="0" w:color="auto"/>
              <w:right w:val="single" w:sz="4" w:space="0" w:color="auto"/>
            </w:tcBorders>
            <w:vAlign w:val="center"/>
            <w:hideMark/>
          </w:tcPr>
          <w:p w:rsidR="00EF303C" w:rsidRPr="005C0645" w:rsidRDefault="00EF303C" w:rsidP="005C0645">
            <w:pPr>
              <w:spacing w:after="0" w:line="240" w:lineRule="auto"/>
              <w:contextualSpacing/>
              <w:jc w:val="center"/>
              <w:rPr>
                <w:rFonts w:ascii="Times New Roman" w:eastAsia="Times New Roman" w:hAnsi="Times New Roman" w:cs="Times New Roman"/>
                <w:sz w:val="24"/>
                <w:szCs w:val="24"/>
                <w:lang w:eastAsia="ru-RU"/>
              </w:rPr>
            </w:pPr>
            <w:r w:rsidRPr="005C0645">
              <w:rPr>
                <w:rFonts w:ascii="Times New Roman" w:eastAsia="Times New Roman" w:hAnsi="Times New Roman" w:cs="Times New Roman"/>
                <w:sz w:val="24"/>
                <w:szCs w:val="24"/>
                <w:lang w:eastAsia="ru-RU"/>
              </w:rPr>
              <w:t>Наименование объекта</w:t>
            </w:r>
          </w:p>
        </w:tc>
        <w:tc>
          <w:tcPr>
            <w:tcW w:w="3509" w:type="dxa"/>
            <w:tcBorders>
              <w:top w:val="single" w:sz="4" w:space="0" w:color="auto"/>
              <w:left w:val="single" w:sz="4" w:space="0" w:color="auto"/>
              <w:bottom w:val="single" w:sz="4" w:space="0" w:color="auto"/>
              <w:right w:val="single" w:sz="4" w:space="0" w:color="auto"/>
            </w:tcBorders>
            <w:vAlign w:val="center"/>
            <w:hideMark/>
          </w:tcPr>
          <w:p w:rsidR="00EF303C" w:rsidRPr="005C0645" w:rsidRDefault="00EF303C" w:rsidP="005C0645">
            <w:pPr>
              <w:spacing w:after="0" w:line="240" w:lineRule="auto"/>
              <w:contextualSpacing/>
              <w:jc w:val="center"/>
              <w:rPr>
                <w:rFonts w:ascii="Times New Roman" w:eastAsia="Times New Roman" w:hAnsi="Times New Roman" w:cs="Times New Roman"/>
                <w:sz w:val="24"/>
                <w:szCs w:val="24"/>
                <w:lang w:eastAsia="ru-RU"/>
              </w:rPr>
            </w:pPr>
            <w:r w:rsidRPr="005C0645">
              <w:rPr>
                <w:rFonts w:ascii="Times New Roman" w:eastAsia="Times New Roman" w:hAnsi="Times New Roman" w:cs="Times New Roman"/>
                <w:sz w:val="24"/>
                <w:szCs w:val="24"/>
                <w:lang w:eastAsia="ru-RU"/>
              </w:rPr>
              <w:t>Частота возникновения</w:t>
            </w:r>
            <w:r w:rsidRPr="005C0645">
              <w:rPr>
                <w:rFonts w:ascii="Times New Roman" w:eastAsia="Times New Roman" w:hAnsi="Times New Roman" w:cs="Times New Roman"/>
                <w:sz w:val="24"/>
                <w:szCs w:val="24"/>
                <w:lang w:eastAsia="ru-RU"/>
              </w:rPr>
              <w:br/>
              <w:t>пожара, (м</w:t>
            </w:r>
            <w:r w:rsidRPr="005C0645">
              <w:rPr>
                <w:rFonts w:ascii="Times New Roman" w:eastAsia="Times New Roman" w:hAnsi="Times New Roman" w:cs="Times New Roman"/>
                <w:sz w:val="24"/>
                <w:szCs w:val="24"/>
                <w:vertAlign w:val="superscript"/>
                <w:lang w:eastAsia="ru-RU"/>
              </w:rPr>
              <w:t>-2</w:t>
            </w:r>
            <w:r w:rsidRPr="005C0645">
              <w:rPr>
                <w:rFonts w:ascii="Times New Roman" w:eastAsia="Times New Roman" w:hAnsi="Times New Roman" w:cs="Times New Roman"/>
                <w:sz w:val="24"/>
                <w:szCs w:val="24"/>
                <w:lang w:eastAsia="ru-RU"/>
              </w:rPr>
              <w:sym w:font="Symbol" w:char="F0D7"/>
            </w:r>
            <w:r w:rsidRPr="005C0645">
              <w:rPr>
                <w:rFonts w:ascii="Times New Roman" w:eastAsia="Times New Roman" w:hAnsi="Times New Roman" w:cs="Times New Roman"/>
                <w:sz w:val="24"/>
                <w:szCs w:val="24"/>
                <w:lang w:eastAsia="ru-RU"/>
              </w:rPr>
              <w:t>год</w:t>
            </w:r>
            <w:r w:rsidRPr="005C0645">
              <w:rPr>
                <w:rFonts w:ascii="Times New Roman" w:eastAsia="Times New Roman" w:hAnsi="Times New Roman" w:cs="Times New Roman"/>
                <w:sz w:val="24"/>
                <w:szCs w:val="24"/>
                <w:vertAlign w:val="superscript"/>
                <w:lang w:eastAsia="ru-RU"/>
              </w:rPr>
              <w:t>-1</w:t>
            </w:r>
            <w:r w:rsidRPr="005C0645">
              <w:rPr>
                <w:rFonts w:ascii="Times New Roman" w:eastAsia="Times New Roman" w:hAnsi="Times New Roman" w:cs="Times New Roman"/>
                <w:sz w:val="24"/>
                <w:szCs w:val="24"/>
                <w:lang w:eastAsia="ru-RU"/>
              </w:rPr>
              <w:t>)</w:t>
            </w:r>
          </w:p>
        </w:tc>
      </w:tr>
      <w:tr w:rsidR="00EF303C" w:rsidRPr="005C0645" w:rsidTr="00EF303C">
        <w:trPr>
          <w:jc w:val="center"/>
        </w:trPr>
        <w:tc>
          <w:tcPr>
            <w:tcW w:w="5748" w:type="dxa"/>
            <w:tcBorders>
              <w:top w:val="single" w:sz="4" w:space="0" w:color="auto"/>
              <w:left w:val="single" w:sz="4" w:space="0" w:color="auto"/>
              <w:bottom w:val="single" w:sz="4" w:space="0" w:color="auto"/>
              <w:right w:val="single" w:sz="4" w:space="0" w:color="auto"/>
            </w:tcBorders>
            <w:vAlign w:val="center"/>
            <w:hideMark/>
          </w:tcPr>
          <w:p w:rsidR="00EF303C" w:rsidRPr="005C0645" w:rsidRDefault="00EF303C" w:rsidP="005C0645">
            <w:pPr>
              <w:spacing w:after="0" w:line="240" w:lineRule="auto"/>
              <w:contextualSpacing/>
              <w:jc w:val="center"/>
              <w:rPr>
                <w:rFonts w:ascii="Times New Roman" w:eastAsia="Times New Roman" w:hAnsi="Times New Roman" w:cs="Times New Roman"/>
                <w:sz w:val="24"/>
                <w:szCs w:val="24"/>
                <w:lang w:eastAsia="ru-RU"/>
              </w:rPr>
            </w:pPr>
            <w:r w:rsidRPr="005C0645">
              <w:rPr>
                <w:rFonts w:ascii="Times New Roman" w:eastAsia="Times New Roman" w:hAnsi="Times New Roman" w:cs="Times New Roman"/>
                <w:sz w:val="24"/>
                <w:szCs w:val="24"/>
                <w:lang w:eastAsia="ru-RU"/>
              </w:rPr>
              <w:t>Электростанции</w:t>
            </w:r>
          </w:p>
        </w:tc>
        <w:tc>
          <w:tcPr>
            <w:tcW w:w="3509" w:type="dxa"/>
            <w:tcBorders>
              <w:top w:val="single" w:sz="4" w:space="0" w:color="auto"/>
              <w:left w:val="single" w:sz="4" w:space="0" w:color="auto"/>
              <w:bottom w:val="single" w:sz="4" w:space="0" w:color="auto"/>
              <w:right w:val="single" w:sz="4" w:space="0" w:color="auto"/>
            </w:tcBorders>
            <w:vAlign w:val="center"/>
            <w:hideMark/>
          </w:tcPr>
          <w:p w:rsidR="00EF303C" w:rsidRPr="005C0645" w:rsidRDefault="00EF303C" w:rsidP="005C0645">
            <w:pPr>
              <w:spacing w:after="0" w:line="240" w:lineRule="auto"/>
              <w:contextualSpacing/>
              <w:jc w:val="center"/>
              <w:rPr>
                <w:rFonts w:ascii="Times New Roman" w:eastAsia="Times New Roman" w:hAnsi="Times New Roman" w:cs="Times New Roman"/>
                <w:sz w:val="24"/>
                <w:szCs w:val="24"/>
                <w:lang w:eastAsia="ru-RU"/>
              </w:rPr>
            </w:pPr>
            <w:r w:rsidRPr="005C0645">
              <w:rPr>
                <w:rFonts w:ascii="Times New Roman" w:eastAsia="Times New Roman" w:hAnsi="Times New Roman" w:cs="Times New Roman"/>
                <w:sz w:val="24"/>
                <w:szCs w:val="24"/>
                <w:lang w:eastAsia="ru-RU"/>
              </w:rPr>
              <w:t>2,2</w:t>
            </w:r>
            <w:r w:rsidRPr="005C0645">
              <w:rPr>
                <w:rFonts w:ascii="Times New Roman" w:eastAsia="Times New Roman" w:hAnsi="Times New Roman" w:cs="Times New Roman"/>
                <w:sz w:val="24"/>
                <w:szCs w:val="24"/>
                <w:lang w:eastAsia="ru-RU"/>
              </w:rPr>
              <w:sym w:font="Symbol" w:char="F0D7"/>
            </w:r>
            <w:r w:rsidRPr="005C0645">
              <w:rPr>
                <w:rFonts w:ascii="Times New Roman" w:eastAsia="Times New Roman" w:hAnsi="Times New Roman" w:cs="Times New Roman"/>
                <w:sz w:val="24"/>
                <w:szCs w:val="24"/>
                <w:lang w:eastAsia="ru-RU"/>
              </w:rPr>
              <w:t>10</w:t>
            </w:r>
            <w:r w:rsidRPr="005C0645">
              <w:rPr>
                <w:rFonts w:ascii="Times New Roman" w:eastAsia="Times New Roman" w:hAnsi="Times New Roman" w:cs="Times New Roman"/>
                <w:sz w:val="24"/>
                <w:szCs w:val="24"/>
                <w:vertAlign w:val="superscript"/>
                <w:lang w:eastAsia="ru-RU"/>
              </w:rPr>
              <w:t>-5</w:t>
            </w:r>
          </w:p>
        </w:tc>
      </w:tr>
      <w:tr w:rsidR="00EF303C" w:rsidRPr="005C0645" w:rsidTr="00EF303C">
        <w:trPr>
          <w:jc w:val="center"/>
        </w:trPr>
        <w:tc>
          <w:tcPr>
            <w:tcW w:w="5748" w:type="dxa"/>
            <w:tcBorders>
              <w:top w:val="single" w:sz="4" w:space="0" w:color="auto"/>
              <w:left w:val="single" w:sz="4" w:space="0" w:color="auto"/>
              <w:bottom w:val="single" w:sz="4" w:space="0" w:color="auto"/>
              <w:right w:val="single" w:sz="4" w:space="0" w:color="auto"/>
            </w:tcBorders>
            <w:vAlign w:val="center"/>
            <w:hideMark/>
          </w:tcPr>
          <w:p w:rsidR="00EF303C" w:rsidRPr="005C0645" w:rsidRDefault="00EF303C" w:rsidP="005C0645">
            <w:pPr>
              <w:spacing w:after="0" w:line="240" w:lineRule="auto"/>
              <w:contextualSpacing/>
              <w:jc w:val="center"/>
              <w:rPr>
                <w:rFonts w:ascii="Times New Roman" w:eastAsia="Times New Roman" w:hAnsi="Times New Roman" w:cs="Times New Roman"/>
                <w:sz w:val="24"/>
                <w:szCs w:val="24"/>
                <w:lang w:eastAsia="ru-RU"/>
              </w:rPr>
            </w:pPr>
            <w:r w:rsidRPr="005C0645">
              <w:rPr>
                <w:rFonts w:ascii="Times New Roman" w:eastAsia="Times New Roman" w:hAnsi="Times New Roman" w:cs="Times New Roman"/>
                <w:sz w:val="24"/>
                <w:szCs w:val="24"/>
                <w:lang w:eastAsia="ru-RU"/>
              </w:rPr>
              <w:t>Склады химической продукции</w:t>
            </w:r>
          </w:p>
        </w:tc>
        <w:tc>
          <w:tcPr>
            <w:tcW w:w="3509" w:type="dxa"/>
            <w:tcBorders>
              <w:top w:val="single" w:sz="4" w:space="0" w:color="auto"/>
              <w:left w:val="single" w:sz="4" w:space="0" w:color="auto"/>
              <w:bottom w:val="single" w:sz="4" w:space="0" w:color="auto"/>
              <w:right w:val="single" w:sz="4" w:space="0" w:color="auto"/>
            </w:tcBorders>
            <w:vAlign w:val="center"/>
            <w:hideMark/>
          </w:tcPr>
          <w:p w:rsidR="00EF303C" w:rsidRPr="005C0645" w:rsidRDefault="00EF303C" w:rsidP="005C0645">
            <w:pPr>
              <w:spacing w:after="0" w:line="240" w:lineRule="auto"/>
              <w:contextualSpacing/>
              <w:jc w:val="center"/>
              <w:rPr>
                <w:rFonts w:ascii="Times New Roman" w:eastAsia="Times New Roman" w:hAnsi="Times New Roman" w:cs="Times New Roman"/>
                <w:sz w:val="24"/>
                <w:szCs w:val="24"/>
                <w:lang w:eastAsia="ru-RU"/>
              </w:rPr>
            </w:pPr>
            <w:r w:rsidRPr="005C0645">
              <w:rPr>
                <w:rFonts w:ascii="Times New Roman" w:eastAsia="Times New Roman" w:hAnsi="Times New Roman" w:cs="Times New Roman"/>
                <w:sz w:val="24"/>
                <w:szCs w:val="24"/>
                <w:lang w:eastAsia="ru-RU"/>
              </w:rPr>
              <w:t>1,2</w:t>
            </w:r>
            <w:r w:rsidRPr="005C0645">
              <w:rPr>
                <w:rFonts w:ascii="Times New Roman" w:eastAsia="Times New Roman" w:hAnsi="Times New Roman" w:cs="Times New Roman"/>
                <w:sz w:val="24"/>
                <w:szCs w:val="24"/>
                <w:lang w:eastAsia="ru-RU"/>
              </w:rPr>
              <w:sym w:font="Symbol" w:char="F0D7"/>
            </w:r>
            <w:r w:rsidRPr="005C0645">
              <w:rPr>
                <w:rFonts w:ascii="Times New Roman" w:eastAsia="Times New Roman" w:hAnsi="Times New Roman" w:cs="Times New Roman"/>
                <w:sz w:val="24"/>
                <w:szCs w:val="24"/>
                <w:lang w:eastAsia="ru-RU"/>
              </w:rPr>
              <w:t>10</w:t>
            </w:r>
            <w:r w:rsidRPr="005C0645">
              <w:rPr>
                <w:rFonts w:ascii="Times New Roman" w:eastAsia="Times New Roman" w:hAnsi="Times New Roman" w:cs="Times New Roman"/>
                <w:sz w:val="24"/>
                <w:szCs w:val="24"/>
                <w:vertAlign w:val="superscript"/>
                <w:lang w:eastAsia="ru-RU"/>
              </w:rPr>
              <w:t>-5</w:t>
            </w:r>
          </w:p>
        </w:tc>
      </w:tr>
      <w:tr w:rsidR="00EF303C" w:rsidRPr="005C0645" w:rsidTr="00EF303C">
        <w:trPr>
          <w:jc w:val="center"/>
        </w:trPr>
        <w:tc>
          <w:tcPr>
            <w:tcW w:w="5748" w:type="dxa"/>
            <w:tcBorders>
              <w:top w:val="single" w:sz="4" w:space="0" w:color="auto"/>
              <w:left w:val="single" w:sz="4" w:space="0" w:color="auto"/>
              <w:bottom w:val="single" w:sz="4" w:space="0" w:color="auto"/>
              <w:right w:val="single" w:sz="4" w:space="0" w:color="auto"/>
            </w:tcBorders>
            <w:vAlign w:val="center"/>
            <w:hideMark/>
          </w:tcPr>
          <w:p w:rsidR="00EF303C" w:rsidRPr="005C0645" w:rsidRDefault="00EF303C" w:rsidP="005C0645">
            <w:pPr>
              <w:spacing w:after="0" w:line="240" w:lineRule="auto"/>
              <w:contextualSpacing/>
              <w:jc w:val="center"/>
              <w:rPr>
                <w:rFonts w:ascii="Times New Roman" w:eastAsia="Times New Roman" w:hAnsi="Times New Roman" w:cs="Times New Roman"/>
                <w:sz w:val="24"/>
                <w:szCs w:val="24"/>
                <w:lang w:eastAsia="ru-RU"/>
              </w:rPr>
            </w:pPr>
            <w:r w:rsidRPr="005C0645">
              <w:rPr>
                <w:rFonts w:ascii="Times New Roman" w:eastAsia="Times New Roman" w:hAnsi="Times New Roman" w:cs="Times New Roman"/>
                <w:sz w:val="24"/>
                <w:szCs w:val="24"/>
                <w:lang w:eastAsia="ru-RU"/>
              </w:rPr>
              <w:t>Склады многономенклатурной продукции</w:t>
            </w:r>
          </w:p>
        </w:tc>
        <w:tc>
          <w:tcPr>
            <w:tcW w:w="3509" w:type="dxa"/>
            <w:tcBorders>
              <w:top w:val="single" w:sz="4" w:space="0" w:color="auto"/>
              <w:left w:val="single" w:sz="4" w:space="0" w:color="auto"/>
              <w:bottom w:val="single" w:sz="4" w:space="0" w:color="auto"/>
              <w:right w:val="single" w:sz="4" w:space="0" w:color="auto"/>
            </w:tcBorders>
            <w:vAlign w:val="center"/>
            <w:hideMark/>
          </w:tcPr>
          <w:p w:rsidR="00EF303C" w:rsidRPr="005C0645" w:rsidRDefault="00EF303C" w:rsidP="005C0645">
            <w:pPr>
              <w:spacing w:after="0" w:line="240" w:lineRule="auto"/>
              <w:contextualSpacing/>
              <w:jc w:val="center"/>
              <w:rPr>
                <w:rFonts w:ascii="Times New Roman" w:eastAsia="Times New Roman" w:hAnsi="Times New Roman" w:cs="Times New Roman"/>
                <w:sz w:val="24"/>
                <w:szCs w:val="24"/>
                <w:lang w:eastAsia="ru-RU"/>
              </w:rPr>
            </w:pPr>
            <w:r w:rsidRPr="005C0645">
              <w:rPr>
                <w:rFonts w:ascii="Times New Roman" w:eastAsia="Times New Roman" w:hAnsi="Times New Roman" w:cs="Times New Roman"/>
                <w:sz w:val="24"/>
                <w:szCs w:val="24"/>
                <w:lang w:eastAsia="ru-RU"/>
              </w:rPr>
              <w:t>9,0</w:t>
            </w:r>
            <w:r w:rsidRPr="005C0645">
              <w:rPr>
                <w:rFonts w:ascii="Times New Roman" w:eastAsia="Times New Roman" w:hAnsi="Times New Roman" w:cs="Times New Roman"/>
                <w:sz w:val="24"/>
                <w:szCs w:val="24"/>
                <w:lang w:eastAsia="ru-RU"/>
              </w:rPr>
              <w:sym w:font="Symbol" w:char="F0D7"/>
            </w:r>
            <w:r w:rsidRPr="005C0645">
              <w:rPr>
                <w:rFonts w:ascii="Times New Roman" w:eastAsia="Times New Roman" w:hAnsi="Times New Roman" w:cs="Times New Roman"/>
                <w:sz w:val="24"/>
                <w:szCs w:val="24"/>
                <w:lang w:eastAsia="ru-RU"/>
              </w:rPr>
              <w:t>10</w:t>
            </w:r>
            <w:r w:rsidRPr="005C0645">
              <w:rPr>
                <w:rFonts w:ascii="Times New Roman" w:eastAsia="Times New Roman" w:hAnsi="Times New Roman" w:cs="Times New Roman"/>
                <w:sz w:val="24"/>
                <w:szCs w:val="24"/>
                <w:vertAlign w:val="superscript"/>
                <w:lang w:eastAsia="ru-RU"/>
              </w:rPr>
              <w:t>-5</w:t>
            </w:r>
          </w:p>
        </w:tc>
      </w:tr>
      <w:tr w:rsidR="00EF303C" w:rsidRPr="005C0645" w:rsidTr="00EF303C">
        <w:trPr>
          <w:jc w:val="center"/>
        </w:trPr>
        <w:tc>
          <w:tcPr>
            <w:tcW w:w="5748" w:type="dxa"/>
            <w:tcBorders>
              <w:top w:val="single" w:sz="4" w:space="0" w:color="auto"/>
              <w:left w:val="single" w:sz="4" w:space="0" w:color="auto"/>
              <w:bottom w:val="single" w:sz="4" w:space="0" w:color="auto"/>
              <w:right w:val="single" w:sz="4" w:space="0" w:color="auto"/>
            </w:tcBorders>
            <w:vAlign w:val="center"/>
            <w:hideMark/>
          </w:tcPr>
          <w:p w:rsidR="00EF303C" w:rsidRPr="005C0645" w:rsidRDefault="00EF303C" w:rsidP="005C0645">
            <w:pPr>
              <w:spacing w:after="0" w:line="240" w:lineRule="auto"/>
              <w:contextualSpacing/>
              <w:jc w:val="center"/>
              <w:rPr>
                <w:rFonts w:ascii="Times New Roman" w:eastAsia="Times New Roman" w:hAnsi="Times New Roman" w:cs="Times New Roman"/>
                <w:sz w:val="24"/>
                <w:szCs w:val="24"/>
                <w:lang w:eastAsia="ru-RU"/>
              </w:rPr>
            </w:pPr>
            <w:r w:rsidRPr="005C0645">
              <w:rPr>
                <w:rFonts w:ascii="Times New Roman" w:eastAsia="Times New Roman" w:hAnsi="Times New Roman" w:cs="Times New Roman"/>
                <w:sz w:val="24"/>
                <w:szCs w:val="24"/>
                <w:lang w:eastAsia="ru-RU"/>
              </w:rPr>
              <w:t>Цеха по обработке синтетического каучука</w:t>
            </w:r>
            <w:r w:rsidRPr="005C0645">
              <w:rPr>
                <w:rFonts w:ascii="Times New Roman" w:eastAsia="Times New Roman" w:hAnsi="Times New Roman" w:cs="Times New Roman"/>
                <w:sz w:val="24"/>
                <w:szCs w:val="24"/>
                <w:lang w:eastAsia="ru-RU"/>
              </w:rPr>
              <w:br/>
              <w:t>и искусственных волокон</w:t>
            </w:r>
          </w:p>
        </w:tc>
        <w:tc>
          <w:tcPr>
            <w:tcW w:w="3509" w:type="dxa"/>
            <w:tcBorders>
              <w:top w:val="single" w:sz="4" w:space="0" w:color="auto"/>
              <w:left w:val="single" w:sz="4" w:space="0" w:color="auto"/>
              <w:bottom w:val="single" w:sz="4" w:space="0" w:color="auto"/>
              <w:right w:val="single" w:sz="4" w:space="0" w:color="auto"/>
            </w:tcBorders>
            <w:vAlign w:val="center"/>
            <w:hideMark/>
          </w:tcPr>
          <w:p w:rsidR="00EF303C" w:rsidRPr="005C0645" w:rsidRDefault="00EF303C" w:rsidP="005C0645">
            <w:pPr>
              <w:spacing w:after="0" w:line="240" w:lineRule="auto"/>
              <w:contextualSpacing/>
              <w:jc w:val="center"/>
              <w:rPr>
                <w:rFonts w:ascii="Times New Roman" w:eastAsia="Times New Roman" w:hAnsi="Times New Roman" w:cs="Times New Roman"/>
                <w:sz w:val="24"/>
                <w:szCs w:val="24"/>
                <w:lang w:eastAsia="ru-RU"/>
              </w:rPr>
            </w:pPr>
            <w:r w:rsidRPr="005C0645">
              <w:rPr>
                <w:rFonts w:ascii="Times New Roman" w:eastAsia="Times New Roman" w:hAnsi="Times New Roman" w:cs="Times New Roman"/>
                <w:sz w:val="24"/>
                <w:szCs w:val="24"/>
                <w:lang w:eastAsia="ru-RU"/>
              </w:rPr>
              <w:t>2,7</w:t>
            </w:r>
            <w:r w:rsidRPr="005C0645">
              <w:rPr>
                <w:rFonts w:ascii="Times New Roman" w:eastAsia="Times New Roman" w:hAnsi="Times New Roman" w:cs="Times New Roman"/>
                <w:sz w:val="24"/>
                <w:szCs w:val="24"/>
                <w:lang w:eastAsia="ru-RU"/>
              </w:rPr>
              <w:sym w:font="Symbol" w:char="F0D7"/>
            </w:r>
            <w:r w:rsidRPr="005C0645">
              <w:rPr>
                <w:rFonts w:ascii="Times New Roman" w:eastAsia="Times New Roman" w:hAnsi="Times New Roman" w:cs="Times New Roman"/>
                <w:sz w:val="24"/>
                <w:szCs w:val="24"/>
                <w:lang w:eastAsia="ru-RU"/>
              </w:rPr>
              <w:t>10</w:t>
            </w:r>
            <w:r w:rsidRPr="005C0645">
              <w:rPr>
                <w:rFonts w:ascii="Times New Roman" w:eastAsia="Times New Roman" w:hAnsi="Times New Roman" w:cs="Times New Roman"/>
                <w:sz w:val="24"/>
                <w:szCs w:val="24"/>
                <w:vertAlign w:val="superscript"/>
                <w:lang w:eastAsia="ru-RU"/>
              </w:rPr>
              <w:t>-5</w:t>
            </w:r>
          </w:p>
        </w:tc>
      </w:tr>
      <w:tr w:rsidR="00EF303C" w:rsidRPr="005C0645" w:rsidTr="00EF303C">
        <w:trPr>
          <w:jc w:val="center"/>
        </w:trPr>
        <w:tc>
          <w:tcPr>
            <w:tcW w:w="5748" w:type="dxa"/>
            <w:tcBorders>
              <w:top w:val="single" w:sz="4" w:space="0" w:color="auto"/>
              <w:left w:val="single" w:sz="4" w:space="0" w:color="auto"/>
              <w:bottom w:val="single" w:sz="4" w:space="0" w:color="auto"/>
              <w:right w:val="single" w:sz="4" w:space="0" w:color="auto"/>
            </w:tcBorders>
            <w:vAlign w:val="center"/>
            <w:hideMark/>
          </w:tcPr>
          <w:p w:rsidR="00EF303C" w:rsidRPr="005C0645" w:rsidRDefault="00EF303C" w:rsidP="005C0645">
            <w:pPr>
              <w:spacing w:after="0" w:line="240" w:lineRule="auto"/>
              <w:contextualSpacing/>
              <w:jc w:val="center"/>
              <w:rPr>
                <w:rFonts w:ascii="Times New Roman" w:eastAsia="Times New Roman" w:hAnsi="Times New Roman" w:cs="Times New Roman"/>
                <w:sz w:val="24"/>
                <w:szCs w:val="24"/>
                <w:lang w:eastAsia="ru-RU"/>
              </w:rPr>
            </w:pPr>
            <w:r w:rsidRPr="005C0645">
              <w:rPr>
                <w:rFonts w:ascii="Times New Roman" w:eastAsia="Times New Roman" w:hAnsi="Times New Roman" w:cs="Times New Roman"/>
                <w:sz w:val="24"/>
                <w:szCs w:val="24"/>
                <w:lang w:eastAsia="ru-RU"/>
              </w:rPr>
              <w:t>Литейные и плавильные цеха</w:t>
            </w:r>
          </w:p>
        </w:tc>
        <w:tc>
          <w:tcPr>
            <w:tcW w:w="3509" w:type="dxa"/>
            <w:tcBorders>
              <w:top w:val="single" w:sz="4" w:space="0" w:color="auto"/>
              <w:left w:val="single" w:sz="4" w:space="0" w:color="auto"/>
              <w:bottom w:val="single" w:sz="4" w:space="0" w:color="auto"/>
              <w:right w:val="single" w:sz="4" w:space="0" w:color="auto"/>
            </w:tcBorders>
            <w:vAlign w:val="center"/>
            <w:hideMark/>
          </w:tcPr>
          <w:p w:rsidR="00EF303C" w:rsidRPr="005C0645" w:rsidRDefault="00EF303C" w:rsidP="005C0645">
            <w:pPr>
              <w:spacing w:after="0" w:line="240" w:lineRule="auto"/>
              <w:contextualSpacing/>
              <w:jc w:val="center"/>
              <w:rPr>
                <w:rFonts w:ascii="Times New Roman" w:eastAsia="Times New Roman" w:hAnsi="Times New Roman" w:cs="Times New Roman"/>
                <w:sz w:val="24"/>
                <w:szCs w:val="24"/>
                <w:lang w:eastAsia="ru-RU"/>
              </w:rPr>
            </w:pPr>
            <w:r w:rsidRPr="005C0645">
              <w:rPr>
                <w:rFonts w:ascii="Times New Roman" w:eastAsia="Times New Roman" w:hAnsi="Times New Roman" w:cs="Times New Roman"/>
                <w:sz w:val="24"/>
                <w:szCs w:val="24"/>
                <w:lang w:eastAsia="ru-RU"/>
              </w:rPr>
              <w:t>1,9</w:t>
            </w:r>
            <w:r w:rsidRPr="005C0645">
              <w:rPr>
                <w:rFonts w:ascii="Times New Roman" w:eastAsia="Times New Roman" w:hAnsi="Times New Roman" w:cs="Times New Roman"/>
                <w:sz w:val="24"/>
                <w:szCs w:val="24"/>
                <w:lang w:eastAsia="ru-RU"/>
              </w:rPr>
              <w:sym w:font="Symbol" w:char="F0D7"/>
            </w:r>
            <w:r w:rsidRPr="005C0645">
              <w:rPr>
                <w:rFonts w:ascii="Times New Roman" w:eastAsia="Times New Roman" w:hAnsi="Times New Roman" w:cs="Times New Roman"/>
                <w:sz w:val="24"/>
                <w:szCs w:val="24"/>
                <w:lang w:eastAsia="ru-RU"/>
              </w:rPr>
              <w:t>10</w:t>
            </w:r>
            <w:r w:rsidRPr="005C0645">
              <w:rPr>
                <w:rFonts w:ascii="Times New Roman" w:eastAsia="Times New Roman" w:hAnsi="Times New Roman" w:cs="Times New Roman"/>
                <w:sz w:val="24"/>
                <w:szCs w:val="24"/>
                <w:vertAlign w:val="superscript"/>
                <w:lang w:eastAsia="ru-RU"/>
              </w:rPr>
              <w:t>-5</w:t>
            </w:r>
          </w:p>
        </w:tc>
      </w:tr>
      <w:tr w:rsidR="00EF303C" w:rsidRPr="005C0645" w:rsidTr="00EF303C">
        <w:trPr>
          <w:jc w:val="center"/>
        </w:trPr>
        <w:tc>
          <w:tcPr>
            <w:tcW w:w="5748" w:type="dxa"/>
            <w:tcBorders>
              <w:top w:val="single" w:sz="4" w:space="0" w:color="auto"/>
              <w:left w:val="single" w:sz="4" w:space="0" w:color="auto"/>
              <w:bottom w:val="single" w:sz="4" w:space="0" w:color="auto"/>
              <w:right w:val="single" w:sz="4" w:space="0" w:color="auto"/>
            </w:tcBorders>
            <w:vAlign w:val="center"/>
            <w:hideMark/>
          </w:tcPr>
          <w:p w:rsidR="00EF303C" w:rsidRPr="005C0645" w:rsidRDefault="00EF303C" w:rsidP="005C0645">
            <w:pPr>
              <w:spacing w:after="0" w:line="240" w:lineRule="auto"/>
              <w:contextualSpacing/>
              <w:jc w:val="center"/>
              <w:rPr>
                <w:rFonts w:ascii="Times New Roman" w:eastAsia="Times New Roman" w:hAnsi="Times New Roman" w:cs="Times New Roman"/>
                <w:sz w:val="24"/>
                <w:szCs w:val="24"/>
                <w:lang w:eastAsia="ru-RU"/>
              </w:rPr>
            </w:pPr>
            <w:r w:rsidRPr="005C0645">
              <w:rPr>
                <w:rFonts w:ascii="Times New Roman" w:eastAsia="Times New Roman" w:hAnsi="Times New Roman" w:cs="Times New Roman"/>
                <w:sz w:val="24"/>
                <w:szCs w:val="24"/>
                <w:lang w:eastAsia="ru-RU"/>
              </w:rPr>
              <w:t>Цеха горячей прокатки металлов</w:t>
            </w:r>
          </w:p>
        </w:tc>
        <w:tc>
          <w:tcPr>
            <w:tcW w:w="3509" w:type="dxa"/>
            <w:tcBorders>
              <w:top w:val="single" w:sz="4" w:space="0" w:color="auto"/>
              <w:left w:val="single" w:sz="4" w:space="0" w:color="auto"/>
              <w:bottom w:val="single" w:sz="4" w:space="0" w:color="auto"/>
              <w:right w:val="single" w:sz="4" w:space="0" w:color="auto"/>
            </w:tcBorders>
            <w:vAlign w:val="center"/>
            <w:hideMark/>
          </w:tcPr>
          <w:p w:rsidR="00EF303C" w:rsidRPr="005C0645" w:rsidRDefault="00EF303C" w:rsidP="005C0645">
            <w:pPr>
              <w:spacing w:after="0" w:line="240" w:lineRule="auto"/>
              <w:contextualSpacing/>
              <w:jc w:val="center"/>
              <w:rPr>
                <w:rFonts w:ascii="Times New Roman" w:eastAsia="Times New Roman" w:hAnsi="Times New Roman" w:cs="Times New Roman"/>
                <w:sz w:val="24"/>
                <w:szCs w:val="24"/>
                <w:lang w:eastAsia="ru-RU"/>
              </w:rPr>
            </w:pPr>
            <w:r w:rsidRPr="005C0645">
              <w:rPr>
                <w:rFonts w:ascii="Times New Roman" w:eastAsia="Times New Roman" w:hAnsi="Times New Roman" w:cs="Times New Roman"/>
                <w:sz w:val="24"/>
                <w:szCs w:val="24"/>
                <w:lang w:eastAsia="ru-RU"/>
              </w:rPr>
              <w:t>1,9</w:t>
            </w:r>
            <w:r w:rsidRPr="005C0645">
              <w:rPr>
                <w:rFonts w:ascii="Times New Roman" w:eastAsia="Times New Roman" w:hAnsi="Times New Roman" w:cs="Times New Roman"/>
                <w:sz w:val="24"/>
                <w:szCs w:val="24"/>
                <w:lang w:eastAsia="ru-RU"/>
              </w:rPr>
              <w:sym w:font="Symbol" w:char="F0D7"/>
            </w:r>
            <w:r w:rsidRPr="005C0645">
              <w:rPr>
                <w:rFonts w:ascii="Times New Roman" w:eastAsia="Times New Roman" w:hAnsi="Times New Roman" w:cs="Times New Roman"/>
                <w:sz w:val="24"/>
                <w:szCs w:val="24"/>
                <w:lang w:eastAsia="ru-RU"/>
              </w:rPr>
              <w:t>10</w:t>
            </w:r>
            <w:r w:rsidRPr="005C0645">
              <w:rPr>
                <w:rFonts w:ascii="Times New Roman" w:eastAsia="Times New Roman" w:hAnsi="Times New Roman" w:cs="Times New Roman"/>
                <w:sz w:val="24"/>
                <w:szCs w:val="24"/>
                <w:vertAlign w:val="superscript"/>
                <w:lang w:eastAsia="ru-RU"/>
              </w:rPr>
              <w:t>-5</w:t>
            </w:r>
          </w:p>
        </w:tc>
      </w:tr>
      <w:tr w:rsidR="00EF303C" w:rsidRPr="005C0645" w:rsidTr="00EF303C">
        <w:trPr>
          <w:jc w:val="center"/>
        </w:trPr>
        <w:tc>
          <w:tcPr>
            <w:tcW w:w="5748" w:type="dxa"/>
            <w:tcBorders>
              <w:top w:val="single" w:sz="4" w:space="0" w:color="auto"/>
              <w:left w:val="single" w:sz="4" w:space="0" w:color="auto"/>
              <w:bottom w:val="single" w:sz="4" w:space="0" w:color="auto"/>
              <w:right w:val="single" w:sz="4" w:space="0" w:color="auto"/>
            </w:tcBorders>
            <w:vAlign w:val="center"/>
            <w:hideMark/>
          </w:tcPr>
          <w:p w:rsidR="00EF303C" w:rsidRPr="005C0645" w:rsidRDefault="00EF303C" w:rsidP="005C0645">
            <w:pPr>
              <w:spacing w:after="0" w:line="240" w:lineRule="auto"/>
              <w:contextualSpacing/>
              <w:jc w:val="center"/>
              <w:rPr>
                <w:rFonts w:ascii="Times New Roman" w:eastAsia="Times New Roman" w:hAnsi="Times New Roman" w:cs="Times New Roman"/>
                <w:sz w:val="24"/>
                <w:szCs w:val="24"/>
                <w:lang w:eastAsia="ru-RU"/>
              </w:rPr>
            </w:pPr>
            <w:r w:rsidRPr="005C0645">
              <w:rPr>
                <w:rFonts w:ascii="Times New Roman" w:eastAsia="Times New Roman" w:hAnsi="Times New Roman" w:cs="Times New Roman"/>
                <w:sz w:val="24"/>
                <w:szCs w:val="24"/>
                <w:lang w:eastAsia="ru-RU"/>
              </w:rPr>
              <w:t>Текстильные производства</w:t>
            </w:r>
          </w:p>
        </w:tc>
        <w:tc>
          <w:tcPr>
            <w:tcW w:w="3509" w:type="dxa"/>
            <w:tcBorders>
              <w:top w:val="single" w:sz="4" w:space="0" w:color="auto"/>
              <w:left w:val="single" w:sz="4" w:space="0" w:color="auto"/>
              <w:bottom w:val="single" w:sz="4" w:space="0" w:color="auto"/>
              <w:right w:val="single" w:sz="4" w:space="0" w:color="auto"/>
            </w:tcBorders>
            <w:vAlign w:val="center"/>
            <w:hideMark/>
          </w:tcPr>
          <w:p w:rsidR="00EF303C" w:rsidRPr="005C0645" w:rsidRDefault="00EF303C" w:rsidP="005C0645">
            <w:pPr>
              <w:spacing w:after="0" w:line="240" w:lineRule="auto"/>
              <w:contextualSpacing/>
              <w:jc w:val="center"/>
              <w:rPr>
                <w:rFonts w:ascii="Times New Roman" w:eastAsia="Times New Roman" w:hAnsi="Times New Roman" w:cs="Times New Roman"/>
                <w:sz w:val="24"/>
                <w:szCs w:val="24"/>
                <w:lang w:eastAsia="ru-RU"/>
              </w:rPr>
            </w:pPr>
            <w:r w:rsidRPr="005C0645">
              <w:rPr>
                <w:rFonts w:ascii="Times New Roman" w:eastAsia="Times New Roman" w:hAnsi="Times New Roman" w:cs="Times New Roman"/>
                <w:sz w:val="24"/>
                <w:szCs w:val="24"/>
                <w:lang w:eastAsia="ru-RU"/>
              </w:rPr>
              <w:t>1,5</w:t>
            </w:r>
            <w:r w:rsidRPr="005C0645">
              <w:rPr>
                <w:rFonts w:ascii="Times New Roman" w:eastAsia="Times New Roman" w:hAnsi="Times New Roman" w:cs="Times New Roman"/>
                <w:sz w:val="24"/>
                <w:szCs w:val="24"/>
                <w:lang w:eastAsia="ru-RU"/>
              </w:rPr>
              <w:sym w:font="Symbol" w:char="F0D7"/>
            </w:r>
            <w:r w:rsidRPr="005C0645">
              <w:rPr>
                <w:rFonts w:ascii="Times New Roman" w:eastAsia="Times New Roman" w:hAnsi="Times New Roman" w:cs="Times New Roman"/>
                <w:sz w:val="24"/>
                <w:szCs w:val="24"/>
                <w:lang w:eastAsia="ru-RU"/>
              </w:rPr>
              <w:t>10</w:t>
            </w:r>
            <w:r w:rsidRPr="005C0645">
              <w:rPr>
                <w:rFonts w:ascii="Times New Roman" w:eastAsia="Times New Roman" w:hAnsi="Times New Roman" w:cs="Times New Roman"/>
                <w:sz w:val="24"/>
                <w:szCs w:val="24"/>
                <w:vertAlign w:val="superscript"/>
                <w:lang w:eastAsia="ru-RU"/>
              </w:rPr>
              <w:t>-5</w:t>
            </w:r>
          </w:p>
        </w:tc>
      </w:tr>
    </w:tbl>
    <w:p w:rsidR="00AC5734" w:rsidRPr="005C0645" w:rsidRDefault="00AC5734" w:rsidP="005C0645">
      <w:pPr>
        <w:spacing w:after="0" w:line="240" w:lineRule="auto"/>
        <w:jc w:val="both"/>
        <w:rPr>
          <w:rFonts w:ascii="Times New Roman" w:hAnsi="Times New Roman" w:cs="Times New Roman"/>
          <w:sz w:val="24"/>
          <w:szCs w:val="24"/>
        </w:rPr>
      </w:pPr>
    </w:p>
    <w:p w:rsidR="000722ED" w:rsidRPr="005C0645" w:rsidRDefault="008322E7" w:rsidP="005C0645">
      <w:pPr>
        <w:spacing w:after="0" w:line="240" w:lineRule="auto"/>
        <w:ind w:firstLine="709"/>
        <w:jc w:val="both"/>
        <w:rPr>
          <w:rFonts w:ascii="Times New Roman" w:hAnsi="Times New Roman" w:cs="Times New Roman"/>
          <w:sz w:val="24"/>
          <w:szCs w:val="24"/>
        </w:rPr>
      </w:pPr>
      <w:r w:rsidRPr="005C0645">
        <w:rPr>
          <w:rFonts w:ascii="Times New Roman" w:hAnsi="Times New Roman" w:cs="Times New Roman"/>
          <w:sz w:val="24"/>
          <w:szCs w:val="24"/>
        </w:rPr>
        <w:t xml:space="preserve">Для снижения вероятности возгораний и взрывов на </w:t>
      </w:r>
      <w:r w:rsidR="005D2CAD" w:rsidRPr="005C0645">
        <w:rPr>
          <w:rFonts w:ascii="Times New Roman" w:hAnsi="Times New Roman" w:cs="Times New Roman"/>
          <w:sz w:val="24"/>
          <w:szCs w:val="24"/>
        </w:rPr>
        <w:t xml:space="preserve">текстильном </w:t>
      </w:r>
      <w:r w:rsidR="00095E04" w:rsidRPr="005C0645">
        <w:rPr>
          <w:rFonts w:ascii="Times New Roman" w:hAnsi="Times New Roman" w:cs="Times New Roman"/>
          <w:sz w:val="24"/>
          <w:szCs w:val="24"/>
        </w:rPr>
        <w:t xml:space="preserve">предприятии могут реализоваться </w:t>
      </w:r>
      <w:r w:rsidRPr="005C0645">
        <w:rPr>
          <w:rFonts w:ascii="Times New Roman" w:hAnsi="Times New Roman" w:cs="Times New Roman"/>
          <w:sz w:val="24"/>
          <w:szCs w:val="24"/>
        </w:rPr>
        <w:t xml:space="preserve">различные мероприятия. Их перечень, а также конкретные особенности определяются пожарной обстановкой в цехах, участках и отдельных рабочих местах. Проведение такой оценки связано с </w:t>
      </w:r>
      <w:r w:rsidR="00095E04" w:rsidRPr="005C0645">
        <w:rPr>
          <w:rFonts w:ascii="Times New Roman" w:hAnsi="Times New Roman" w:cs="Times New Roman"/>
          <w:sz w:val="24"/>
          <w:szCs w:val="24"/>
        </w:rPr>
        <w:t xml:space="preserve">определением пожарной нагрузки, </w:t>
      </w:r>
      <w:r w:rsidRPr="005C0645">
        <w:rPr>
          <w:rFonts w:ascii="Times New Roman" w:hAnsi="Times New Roman" w:cs="Times New Roman"/>
          <w:sz w:val="24"/>
          <w:szCs w:val="24"/>
        </w:rPr>
        <w:t>установлени</w:t>
      </w:r>
      <w:r w:rsidR="00095E04" w:rsidRPr="005C0645">
        <w:rPr>
          <w:rFonts w:ascii="Times New Roman" w:hAnsi="Times New Roman" w:cs="Times New Roman"/>
          <w:sz w:val="24"/>
          <w:szCs w:val="24"/>
        </w:rPr>
        <w:t xml:space="preserve">ем </w:t>
      </w:r>
      <w:r w:rsidRPr="005C0645">
        <w:rPr>
          <w:rFonts w:ascii="Times New Roman" w:hAnsi="Times New Roman" w:cs="Times New Roman"/>
          <w:sz w:val="24"/>
          <w:szCs w:val="24"/>
        </w:rPr>
        <w:t xml:space="preserve">категории взрывопожарной опасности производственных помещений </w:t>
      </w:r>
      <w:r w:rsidR="00095E04" w:rsidRPr="005C0645">
        <w:rPr>
          <w:rFonts w:ascii="Times New Roman" w:hAnsi="Times New Roman" w:cs="Times New Roman"/>
          <w:sz w:val="24"/>
          <w:szCs w:val="24"/>
        </w:rPr>
        <w:t xml:space="preserve">согласно            </w:t>
      </w:r>
      <w:r w:rsidR="000722ED" w:rsidRPr="005C0645">
        <w:rPr>
          <w:rFonts w:ascii="Times New Roman" w:hAnsi="Times New Roman" w:cs="Times New Roman"/>
          <w:sz w:val="24"/>
          <w:szCs w:val="24"/>
        </w:rPr>
        <w:t>СП 12.13130.2009</w:t>
      </w:r>
      <w:r w:rsidR="005C0645" w:rsidRPr="005C0645">
        <w:rPr>
          <w:rFonts w:ascii="Times New Roman" w:hAnsi="Times New Roman" w:cs="Times New Roman"/>
          <w:sz w:val="24"/>
          <w:szCs w:val="24"/>
        </w:rPr>
        <w:t>, НПБ 105-</w:t>
      </w:r>
      <w:r w:rsidR="00CC72A9" w:rsidRPr="005C0645">
        <w:rPr>
          <w:rFonts w:ascii="Times New Roman" w:hAnsi="Times New Roman" w:cs="Times New Roman"/>
          <w:sz w:val="24"/>
          <w:szCs w:val="24"/>
        </w:rPr>
        <w:t>03 [</w:t>
      </w:r>
      <w:r w:rsidR="00095E04" w:rsidRPr="005C0645">
        <w:rPr>
          <w:rFonts w:ascii="Times New Roman" w:hAnsi="Times New Roman" w:cs="Times New Roman"/>
          <w:sz w:val="24"/>
          <w:szCs w:val="24"/>
        </w:rPr>
        <w:t>1,</w:t>
      </w:r>
      <w:r w:rsidR="00CC72A9" w:rsidRPr="005C0645">
        <w:rPr>
          <w:rFonts w:ascii="Times New Roman" w:hAnsi="Times New Roman" w:cs="Times New Roman"/>
          <w:sz w:val="24"/>
          <w:szCs w:val="24"/>
        </w:rPr>
        <w:t>2]</w:t>
      </w:r>
      <w:r w:rsidR="00F2439A" w:rsidRPr="005C0645">
        <w:rPr>
          <w:rFonts w:ascii="Times New Roman" w:hAnsi="Times New Roman" w:cs="Times New Roman"/>
          <w:sz w:val="24"/>
          <w:szCs w:val="24"/>
        </w:rPr>
        <w:t xml:space="preserve"> </w:t>
      </w:r>
      <w:r w:rsidR="00CC72A9" w:rsidRPr="005C0645">
        <w:rPr>
          <w:rFonts w:ascii="Times New Roman" w:hAnsi="Times New Roman" w:cs="Times New Roman"/>
          <w:sz w:val="24"/>
          <w:szCs w:val="24"/>
        </w:rPr>
        <w:t>и др</w:t>
      </w:r>
      <w:r w:rsidR="00095E04" w:rsidRPr="005C0645">
        <w:rPr>
          <w:rFonts w:ascii="Times New Roman" w:hAnsi="Times New Roman" w:cs="Times New Roman"/>
          <w:sz w:val="24"/>
          <w:szCs w:val="24"/>
        </w:rPr>
        <w:t>.</w:t>
      </w:r>
    </w:p>
    <w:p w:rsidR="000722ED" w:rsidRPr="005C0645" w:rsidRDefault="00AC5734" w:rsidP="005C0645">
      <w:pPr>
        <w:spacing w:after="0" w:line="240" w:lineRule="auto"/>
        <w:ind w:firstLine="709"/>
        <w:jc w:val="both"/>
        <w:rPr>
          <w:rFonts w:ascii="Times New Roman" w:hAnsi="Times New Roman" w:cs="Times New Roman"/>
          <w:sz w:val="24"/>
          <w:szCs w:val="24"/>
        </w:rPr>
      </w:pPr>
      <w:r w:rsidRPr="005C0645">
        <w:rPr>
          <w:rFonts w:ascii="Times New Roman" w:hAnsi="Times New Roman" w:cs="Times New Roman"/>
          <w:sz w:val="24"/>
          <w:szCs w:val="24"/>
        </w:rPr>
        <w:t xml:space="preserve">Такая оценка была проведена нами </w:t>
      </w:r>
      <w:r w:rsidR="005D2CAD" w:rsidRPr="005C0645">
        <w:rPr>
          <w:rFonts w:ascii="Times New Roman" w:hAnsi="Times New Roman" w:cs="Times New Roman"/>
          <w:sz w:val="24"/>
          <w:szCs w:val="24"/>
        </w:rPr>
        <w:t xml:space="preserve">на примере вязального цеха </w:t>
      </w:r>
      <w:r w:rsidR="000722ED" w:rsidRPr="005C0645">
        <w:rPr>
          <w:rFonts w:ascii="Times New Roman" w:hAnsi="Times New Roman" w:cs="Times New Roman"/>
          <w:sz w:val="24"/>
          <w:szCs w:val="24"/>
        </w:rPr>
        <w:t xml:space="preserve">одного из предприятий текстильной промышленности </w:t>
      </w:r>
      <w:r w:rsidR="005D2CAD" w:rsidRPr="005C0645">
        <w:rPr>
          <w:rFonts w:ascii="Times New Roman" w:hAnsi="Times New Roman" w:cs="Times New Roman"/>
          <w:sz w:val="24"/>
          <w:szCs w:val="24"/>
        </w:rPr>
        <w:t xml:space="preserve">Орловской области. Цех </w:t>
      </w:r>
      <w:r w:rsidR="00763D3B" w:rsidRPr="005C0645">
        <w:rPr>
          <w:rFonts w:ascii="Times New Roman" w:hAnsi="Times New Roman" w:cs="Times New Roman"/>
          <w:sz w:val="24"/>
          <w:szCs w:val="24"/>
        </w:rPr>
        <w:t>расположен</w:t>
      </w:r>
      <w:r w:rsidR="005D2CAD" w:rsidRPr="005C0645">
        <w:rPr>
          <w:rFonts w:ascii="Times New Roman" w:hAnsi="Times New Roman" w:cs="Times New Roman"/>
          <w:sz w:val="24"/>
          <w:szCs w:val="24"/>
        </w:rPr>
        <w:t xml:space="preserve"> на втором этаже производственного здания в помещении в</w:t>
      </w:r>
      <w:r w:rsidR="000722ED" w:rsidRPr="005C0645">
        <w:rPr>
          <w:rFonts w:ascii="Times New Roman" w:hAnsi="Times New Roman" w:cs="Times New Roman"/>
          <w:sz w:val="24"/>
          <w:szCs w:val="24"/>
        </w:rPr>
        <w:t>ысот</w:t>
      </w:r>
      <w:r w:rsidR="005D2CAD" w:rsidRPr="005C0645">
        <w:rPr>
          <w:rFonts w:ascii="Times New Roman" w:hAnsi="Times New Roman" w:cs="Times New Roman"/>
          <w:sz w:val="24"/>
          <w:szCs w:val="24"/>
        </w:rPr>
        <w:t>ой</w:t>
      </w:r>
      <w:r w:rsidR="000722ED" w:rsidRPr="005C0645">
        <w:rPr>
          <w:rFonts w:ascii="Times New Roman" w:hAnsi="Times New Roman" w:cs="Times New Roman"/>
          <w:sz w:val="24"/>
          <w:szCs w:val="24"/>
        </w:rPr>
        <w:t xml:space="preserve"> </w:t>
      </w:r>
      <w:r w:rsidR="00095E04" w:rsidRPr="005C0645">
        <w:rPr>
          <w:rFonts w:ascii="Times New Roman" w:hAnsi="Times New Roman" w:cs="Times New Roman"/>
          <w:sz w:val="24"/>
          <w:szCs w:val="24"/>
        </w:rPr>
        <w:t xml:space="preserve"> </w:t>
      </w:r>
      <w:r w:rsidR="000722ED" w:rsidRPr="005C0645">
        <w:rPr>
          <w:rFonts w:ascii="Times New Roman" w:hAnsi="Times New Roman" w:cs="Times New Roman"/>
          <w:sz w:val="24"/>
          <w:szCs w:val="24"/>
        </w:rPr>
        <w:t>5,3</w:t>
      </w:r>
      <w:r w:rsidR="00095E04" w:rsidRPr="005C0645">
        <w:rPr>
          <w:rFonts w:ascii="Times New Roman" w:hAnsi="Times New Roman" w:cs="Times New Roman"/>
          <w:sz w:val="24"/>
          <w:szCs w:val="24"/>
        </w:rPr>
        <w:t xml:space="preserve"> м</w:t>
      </w:r>
      <w:r w:rsidRPr="005C0645">
        <w:rPr>
          <w:rFonts w:ascii="Times New Roman" w:hAnsi="Times New Roman" w:cs="Times New Roman"/>
          <w:sz w:val="24"/>
          <w:szCs w:val="24"/>
        </w:rPr>
        <w:t xml:space="preserve">. </w:t>
      </w:r>
      <w:r w:rsidR="00AD7EEE" w:rsidRPr="005C0645">
        <w:rPr>
          <w:rFonts w:ascii="Times New Roman" w:hAnsi="Times New Roman" w:cs="Times New Roman"/>
          <w:sz w:val="24"/>
          <w:szCs w:val="24"/>
        </w:rPr>
        <w:t>Для разделения технологических процессов цех раз</w:t>
      </w:r>
      <w:r w:rsidRPr="005C0645">
        <w:rPr>
          <w:rFonts w:ascii="Times New Roman" w:hAnsi="Times New Roman" w:cs="Times New Roman"/>
          <w:sz w:val="24"/>
          <w:szCs w:val="24"/>
        </w:rPr>
        <w:t xml:space="preserve">бит </w:t>
      </w:r>
      <w:r w:rsidR="00AD7EEE" w:rsidRPr="005C0645">
        <w:rPr>
          <w:rFonts w:ascii="Times New Roman" w:hAnsi="Times New Roman" w:cs="Times New Roman"/>
          <w:sz w:val="24"/>
          <w:szCs w:val="24"/>
        </w:rPr>
        <w:t xml:space="preserve">на два </w:t>
      </w:r>
      <w:r w:rsidR="00095E04" w:rsidRPr="005C0645">
        <w:rPr>
          <w:rFonts w:ascii="Times New Roman" w:hAnsi="Times New Roman" w:cs="Times New Roman"/>
          <w:sz w:val="24"/>
          <w:szCs w:val="24"/>
        </w:rPr>
        <w:t xml:space="preserve">одинаковых по площади </w:t>
      </w:r>
      <w:r w:rsidR="00AD7EEE" w:rsidRPr="005C0645">
        <w:rPr>
          <w:rFonts w:ascii="Times New Roman" w:hAnsi="Times New Roman" w:cs="Times New Roman"/>
          <w:sz w:val="24"/>
          <w:szCs w:val="24"/>
        </w:rPr>
        <w:t xml:space="preserve">участка </w:t>
      </w:r>
      <w:r w:rsidR="00095E04" w:rsidRPr="005C0645">
        <w:rPr>
          <w:rFonts w:ascii="Times New Roman" w:hAnsi="Times New Roman" w:cs="Times New Roman"/>
          <w:sz w:val="24"/>
          <w:szCs w:val="24"/>
        </w:rPr>
        <w:t>(</w:t>
      </w:r>
      <w:r w:rsidR="00AD7EEE" w:rsidRPr="005C0645">
        <w:rPr>
          <w:rFonts w:ascii="Times New Roman" w:hAnsi="Times New Roman" w:cs="Times New Roman"/>
          <w:sz w:val="24"/>
          <w:szCs w:val="24"/>
        </w:rPr>
        <w:t>1527 м</w:t>
      </w:r>
      <w:proofErr w:type="gramStart"/>
      <w:r w:rsidR="00AD7EEE" w:rsidRPr="005C0645">
        <w:rPr>
          <w:rFonts w:ascii="Times New Roman" w:hAnsi="Times New Roman" w:cs="Times New Roman"/>
          <w:sz w:val="24"/>
          <w:szCs w:val="24"/>
          <w:vertAlign w:val="superscript"/>
        </w:rPr>
        <w:t>2</w:t>
      </w:r>
      <w:proofErr w:type="gramEnd"/>
      <w:r w:rsidR="00095E04" w:rsidRPr="005C0645">
        <w:rPr>
          <w:rFonts w:ascii="Times New Roman" w:hAnsi="Times New Roman" w:cs="Times New Roman"/>
          <w:sz w:val="24"/>
          <w:szCs w:val="24"/>
        </w:rPr>
        <w:t>).</w:t>
      </w:r>
      <w:r w:rsidR="00763D3B" w:rsidRPr="005C0645">
        <w:rPr>
          <w:rFonts w:ascii="Times New Roman" w:hAnsi="Times New Roman" w:cs="Times New Roman"/>
          <w:sz w:val="24"/>
          <w:szCs w:val="24"/>
        </w:rPr>
        <w:t xml:space="preserve"> </w:t>
      </w:r>
      <w:r w:rsidR="00AD7EEE" w:rsidRPr="005C0645">
        <w:rPr>
          <w:rFonts w:ascii="Times New Roman" w:hAnsi="Times New Roman" w:cs="Times New Roman"/>
          <w:sz w:val="24"/>
          <w:szCs w:val="24"/>
        </w:rPr>
        <w:t>На у</w:t>
      </w:r>
      <w:r w:rsidR="00763D3B" w:rsidRPr="005C0645">
        <w:rPr>
          <w:rFonts w:ascii="Times New Roman" w:hAnsi="Times New Roman" w:cs="Times New Roman"/>
          <w:sz w:val="24"/>
          <w:szCs w:val="24"/>
        </w:rPr>
        <w:t>част</w:t>
      </w:r>
      <w:r w:rsidR="00AD7EEE" w:rsidRPr="005C0645">
        <w:rPr>
          <w:rFonts w:ascii="Times New Roman" w:hAnsi="Times New Roman" w:cs="Times New Roman"/>
          <w:sz w:val="24"/>
          <w:szCs w:val="24"/>
        </w:rPr>
        <w:t xml:space="preserve">ке </w:t>
      </w:r>
      <w:r w:rsidR="00763D3B" w:rsidRPr="005C0645">
        <w:rPr>
          <w:rFonts w:ascii="Times New Roman" w:hAnsi="Times New Roman" w:cs="Times New Roman"/>
          <w:sz w:val="24"/>
          <w:szCs w:val="24"/>
        </w:rPr>
        <w:t xml:space="preserve">№1 </w:t>
      </w:r>
      <w:r w:rsidR="00AD7EEE" w:rsidRPr="005C0645">
        <w:rPr>
          <w:rFonts w:ascii="Times New Roman" w:hAnsi="Times New Roman" w:cs="Times New Roman"/>
          <w:sz w:val="24"/>
          <w:szCs w:val="24"/>
        </w:rPr>
        <w:t>производ</w:t>
      </w:r>
      <w:r w:rsidR="00095E04" w:rsidRPr="005C0645">
        <w:rPr>
          <w:rFonts w:ascii="Times New Roman" w:hAnsi="Times New Roman" w:cs="Times New Roman"/>
          <w:sz w:val="24"/>
          <w:szCs w:val="24"/>
        </w:rPr>
        <w:t xml:space="preserve">ятся </w:t>
      </w:r>
      <w:r w:rsidR="00AD7EEE" w:rsidRPr="005C0645">
        <w:rPr>
          <w:rFonts w:ascii="Times New Roman" w:hAnsi="Times New Roman" w:cs="Times New Roman"/>
          <w:sz w:val="24"/>
          <w:szCs w:val="24"/>
        </w:rPr>
        <w:t>трикотажны</w:t>
      </w:r>
      <w:r w:rsidR="00095E04" w:rsidRPr="005C0645">
        <w:rPr>
          <w:rFonts w:ascii="Times New Roman" w:hAnsi="Times New Roman" w:cs="Times New Roman"/>
          <w:sz w:val="24"/>
          <w:szCs w:val="24"/>
        </w:rPr>
        <w:t xml:space="preserve">е </w:t>
      </w:r>
      <w:r w:rsidR="00AD7EEE" w:rsidRPr="005C0645">
        <w:rPr>
          <w:rFonts w:ascii="Times New Roman" w:hAnsi="Times New Roman" w:cs="Times New Roman"/>
          <w:sz w:val="24"/>
          <w:szCs w:val="24"/>
        </w:rPr>
        <w:t>издели</w:t>
      </w:r>
      <w:r w:rsidR="00095E04" w:rsidRPr="005C0645">
        <w:rPr>
          <w:rFonts w:ascii="Times New Roman" w:hAnsi="Times New Roman" w:cs="Times New Roman"/>
          <w:sz w:val="24"/>
          <w:szCs w:val="24"/>
        </w:rPr>
        <w:t xml:space="preserve">я </w:t>
      </w:r>
      <w:r w:rsidR="00AD7EEE" w:rsidRPr="005C0645">
        <w:rPr>
          <w:rFonts w:ascii="Times New Roman" w:hAnsi="Times New Roman" w:cs="Times New Roman"/>
          <w:sz w:val="24"/>
          <w:szCs w:val="24"/>
        </w:rPr>
        <w:t>из хлопчатобумажной и синтетической пряжи; на у</w:t>
      </w:r>
      <w:r w:rsidR="00763D3B" w:rsidRPr="005C0645">
        <w:rPr>
          <w:rFonts w:ascii="Times New Roman" w:hAnsi="Times New Roman" w:cs="Times New Roman"/>
          <w:sz w:val="24"/>
          <w:szCs w:val="24"/>
        </w:rPr>
        <w:t>частк</w:t>
      </w:r>
      <w:r w:rsidR="00AD7EEE" w:rsidRPr="005C0645">
        <w:rPr>
          <w:rFonts w:ascii="Times New Roman" w:hAnsi="Times New Roman" w:cs="Times New Roman"/>
          <w:sz w:val="24"/>
          <w:szCs w:val="24"/>
        </w:rPr>
        <w:t>е</w:t>
      </w:r>
      <w:r w:rsidR="00763D3B" w:rsidRPr="005C0645">
        <w:rPr>
          <w:rFonts w:ascii="Times New Roman" w:hAnsi="Times New Roman" w:cs="Times New Roman"/>
          <w:sz w:val="24"/>
          <w:szCs w:val="24"/>
        </w:rPr>
        <w:t xml:space="preserve"> №2 – </w:t>
      </w:r>
      <w:r w:rsidR="00AD7EEE" w:rsidRPr="005C0645">
        <w:rPr>
          <w:rFonts w:ascii="Times New Roman" w:hAnsi="Times New Roman" w:cs="Times New Roman"/>
          <w:sz w:val="24"/>
          <w:szCs w:val="24"/>
        </w:rPr>
        <w:t xml:space="preserve"> из хлопчатобумажной пряжи и эластика.</w:t>
      </w:r>
      <w:r w:rsidR="001060FD" w:rsidRPr="005C0645">
        <w:rPr>
          <w:rFonts w:ascii="Times New Roman" w:hAnsi="Times New Roman" w:cs="Times New Roman"/>
          <w:sz w:val="24"/>
          <w:szCs w:val="24"/>
        </w:rPr>
        <w:t xml:space="preserve"> На каждом </w:t>
      </w:r>
      <w:r w:rsidR="001E2F8D" w:rsidRPr="005C0645">
        <w:rPr>
          <w:rFonts w:ascii="Times New Roman" w:hAnsi="Times New Roman" w:cs="Times New Roman"/>
          <w:sz w:val="24"/>
          <w:szCs w:val="24"/>
        </w:rPr>
        <w:t xml:space="preserve">из них </w:t>
      </w:r>
      <w:r w:rsidR="001060FD" w:rsidRPr="005C0645">
        <w:rPr>
          <w:rFonts w:ascii="Times New Roman" w:hAnsi="Times New Roman" w:cs="Times New Roman"/>
          <w:sz w:val="24"/>
          <w:szCs w:val="24"/>
        </w:rPr>
        <w:t>предусмотрен</w:t>
      </w:r>
      <w:r w:rsidR="001E2F8D" w:rsidRPr="005C0645">
        <w:rPr>
          <w:rFonts w:ascii="Times New Roman" w:hAnsi="Times New Roman" w:cs="Times New Roman"/>
          <w:sz w:val="24"/>
          <w:szCs w:val="24"/>
        </w:rPr>
        <w:t xml:space="preserve">ы кладовые </w:t>
      </w:r>
      <w:r w:rsidR="001060FD" w:rsidRPr="005C0645">
        <w:rPr>
          <w:rFonts w:ascii="Times New Roman" w:hAnsi="Times New Roman" w:cs="Times New Roman"/>
          <w:sz w:val="24"/>
          <w:szCs w:val="24"/>
        </w:rPr>
        <w:t xml:space="preserve">для хранения </w:t>
      </w:r>
      <w:r w:rsidR="00E2233F" w:rsidRPr="005C0645">
        <w:rPr>
          <w:rFonts w:ascii="Times New Roman" w:hAnsi="Times New Roman" w:cs="Times New Roman"/>
          <w:sz w:val="24"/>
          <w:szCs w:val="24"/>
        </w:rPr>
        <w:t>запасных частей оборудования</w:t>
      </w:r>
      <w:r w:rsidR="001060FD" w:rsidRPr="005C0645">
        <w:rPr>
          <w:rFonts w:ascii="Times New Roman" w:hAnsi="Times New Roman" w:cs="Times New Roman"/>
          <w:sz w:val="24"/>
          <w:szCs w:val="24"/>
        </w:rPr>
        <w:t>.</w:t>
      </w:r>
    </w:p>
    <w:p w:rsidR="00763D3B" w:rsidRPr="005C0645" w:rsidRDefault="00AC5734" w:rsidP="005C0645">
      <w:pPr>
        <w:spacing w:after="0" w:line="240" w:lineRule="auto"/>
        <w:ind w:firstLine="709"/>
        <w:jc w:val="both"/>
        <w:rPr>
          <w:rFonts w:ascii="Times New Roman" w:hAnsi="Times New Roman" w:cs="Times New Roman"/>
          <w:sz w:val="24"/>
          <w:szCs w:val="24"/>
        </w:rPr>
      </w:pPr>
      <w:r w:rsidRPr="005C0645">
        <w:rPr>
          <w:rFonts w:ascii="Times New Roman" w:hAnsi="Times New Roman" w:cs="Times New Roman"/>
          <w:sz w:val="24"/>
          <w:szCs w:val="24"/>
        </w:rPr>
        <w:t>На этапе сбора исходных данных проведен анализ технологического процесса,</w:t>
      </w:r>
      <w:r w:rsidR="001E2F8D" w:rsidRPr="005C0645">
        <w:rPr>
          <w:rFonts w:ascii="Times New Roman" w:hAnsi="Times New Roman" w:cs="Times New Roman"/>
          <w:sz w:val="24"/>
          <w:szCs w:val="24"/>
        </w:rPr>
        <w:t xml:space="preserve"> что позволило установить параметры горючих материалов, используемых на производстве (</w:t>
      </w:r>
      <w:r w:rsidRPr="005C0645">
        <w:rPr>
          <w:rFonts w:ascii="Times New Roman" w:hAnsi="Times New Roman" w:cs="Times New Roman"/>
          <w:sz w:val="24"/>
          <w:szCs w:val="24"/>
        </w:rPr>
        <w:t>таблиц</w:t>
      </w:r>
      <w:r w:rsidR="001E2F8D" w:rsidRPr="005C0645">
        <w:rPr>
          <w:rFonts w:ascii="Times New Roman" w:hAnsi="Times New Roman" w:cs="Times New Roman"/>
          <w:sz w:val="24"/>
          <w:szCs w:val="24"/>
        </w:rPr>
        <w:t xml:space="preserve">ы </w:t>
      </w:r>
      <w:r w:rsidR="00763D3B" w:rsidRPr="005C0645">
        <w:rPr>
          <w:rFonts w:ascii="Times New Roman" w:hAnsi="Times New Roman" w:cs="Times New Roman"/>
          <w:sz w:val="24"/>
          <w:szCs w:val="24"/>
        </w:rPr>
        <w:t>2</w:t>
      </w:r>
      <w:r w:rsidR="001E2F8D" w:rsidRPr="005C0645">
        <w:rPr>
          <w:rFonts w:ascii="Times New Roman" w:hAnsi="Times New Roman" w:cs="Times New Roman"/>
          <w:sz w:val="24"/>
          <w:szCs w:val="24"/>
        </w:rPr>
        <w:t xml:space="preserve">, </w:t>
      </w:r>
      <w:r w:rsidRPr="005C0645">
        <w:rPr>
          <w:rFonts w:ascii="Times New Roman" w:hAnsi="Times New Roman" w:cs="Times New Roman"/>
          <w:sz w:val="24"/>
          <w:szCs w:val="24"/>
        </w:rPr>
        <w:t>3</w:t>
      </w:r>
      <w:r w:rsidR="001E2F8D" w:rsidRPr="005C0645">
        <w:rPr>
          <w:rFonts w:ascii="Times New Roman" w:hAnsi="Times New Roman" w:cs="Times New Roman"/>
          <w:sz w:val="24"/>
          <w:szCs w:val="24"/>
        </w:rPr>
        <w:t>)</w:t>
      </w:r>
      <w:r w:rsidRPr="005C0645">
        <w:rPr>
          <w:rFonts w:ascii="Times New Roman" w:hAnsi="Times New Roman" w:cs="Times New Roman"/>
          <w:sz w:val="24"/>
          <w:szCs w:val="24"/>
        </w:rPr>
        <w:t xml:space="preserve">. </w:t>
      </w:r>
    </w:p>
    <w:p w:rsidR="005C0645" w:rsidRPr="005B1481" w:rsidRDefault="005C0645" w:rsidP="005C0645">
      <w:pPr>
        <w:spacing w:after="0" w:line="240" w:lineRule="auto"/>
        <w:ind w:firstLine="709"/>
        <w:jc w:val="both"/>
        <w:rPr>
          <w:rFonts w:ascii="Times New Roman" w:hAnsi="Times New Roman" w:cs="Times New Roman"/>
          <w:sz w:val="24"/>
          <w:szCs w:val="24"/>
        </w:rPr>
      </w:pPr>
    </w:p>
    <w:p w:rsidR="005D2CAD" w:rsidRPr="005C0645" w:rsidRDefault="00763D3B" w:rsidP="005C0645">
      <w:pPr>
        <w:spacing w:after="0" w:line="240" w:lineRule="auto"/>
        <w:ind w:firstLine="709"/>
        <w:jc w:val="both"/>
        <w:rPr>
          <w:rFonts w:ascii="Times New Roman" w:hAnsi="Times New Roman" w:cs="Times New Roman"/>
          <w:sz w:val="24"/>
          <w:szCs w:val="24"/>
        </w:rPr>
      </w:pPr>
      <w:r w:rsidRPr="005C0645">
        <w:rPr>
          <w:rFonts w:ascii="Times New Roman" w:hAnsi="Times New Roman" w:cs="Times New Roman"/>
          <w:sz w:val="24"/>
          <w:szCs w:val="24"/>
        </w:rPr>
        <w:t>Таблиц</w:t>
      </w:r>
      <w:r w:rsidR="00F2439A" w:rsidRPr="005C0645">
        <w:rPr>
          <w:rFonts w:ascii="Times New Roman" w:hAnsi="Times New Roman" w:cs="Times New Roman"/>
          <w:sz w:val="24"/>
          <w:szCs w:val="24"/>
        </w:rPr>
        <w:t>а</w:t>
      </w:r>
      <w:r w:rsidR="00EF303C" w:rsidRPr="005C0645">
        <w:rPr>
          <w:rFonts w:ascii="Times New Roman" w:hAnsi="Times New Roman" w:cs="Times New Roman"/>
          <w:sz w:val="24"/>
          <w:szCs w:val="24"/>
        </w:rPr>
        <w:t xml:space="preserve"> 2</w:t>
      </w:r>
      <w:r w:rsidRPr="005C0645">
        <w:rPr>
          <w:rFonts w:ascii="Times New Roman" w:hAnsi="Times New Roman" w:cs="Times New Roman"/>
          <w:sz w:val="24"/>
          <w:szCs w:val="24"/>
        </w:rPr>
        <w:t xml:space="preserve"> </w:t>
      </w:r>
      <w:r w:rsidR="00F2439A" w:rsidRPr="005C0645">
        <w:rPr>
          <w:rFonts w:ascii="Times New Roman" w:hAnsi="Times New Roman" w:cs="Times New Roman"/>
          <w:sz w:val="24"/>
          <w:szCs w:val="24"/>
        </w:rPr>
        <w:t xml:space="preserve">– </w:t>
      </w:r>
      <w:r w:rsidRPr="005C0645">
        <w:rPr>
          <w:rFonts w:ascii="Times New Roman" w:hAnsi="Times New Roman" w:cs="Times New Roman"/>
          <w:sz w:val="24"/>
          <w:szCs w:val="24"/>
        </w:rPr>
        <w:t>Параметры материало</w:t>
      </w:r>
      <w:r w:rsidR="00F2439A" w:rsidRPr="005C0645">
        <w:rPr>
          <w:rFonts w:ascii="Times New Roman" w:hAnsi="Times New Roman" w:cs="Times New Roman"/>
          <w:sz w:val="24"/>
          <w:szCs w:val="24"/>
        </w:rPr>
        <w:t>в, используемых на производстве</w:t>
      </w:r>
    </w:p>
    <w:tbl>
      <w:tblPr>
        <w:tblStyle w:val="a5"/>
        <w:tblW w:w="0" w:type="auto"/>
        <w:tblLook w:val="04A0" w:firstRow="1" w:lastRow="0" w:firstColumn="1" w:lastColumn="0" w:noHBand="0" w:noVBand="1"/>
      </w:tblPr>
      <w:tblGrid>
        <w:gridCol w:w="1934"/>
        <w:gridCol w:w="1901"/>
        <w:gridCol w:w="1917"/>
        <w:gridCol w:w="1902"/>
        <w:gridCol w:w="1917"/>
      </w:tblGrid>
      <w:tr w:rsidR="00EF303C" w:rsidRPr="005C0645" w:rsidTr="00EF303C">
        <w:tc>
          <w:tcPr>
            <w:tcW w:w="2027" w:type="dxa"/>
            <w:vMerge w:val="restart"/>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Вид материала</w:t>
            </w:r>
          </w:p>
        </w:tc>
        <w:tc>
          <w:tcPr>
            <w:tcW w:w="8110" w:type="dxa"/>
            <w:gridSpan w:val="4"/>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 xml:space="preserve">Масса хранящихся материалов, </w:t>
            </w:r>
            <w:proofErr w:type="gramStart"/>
            <w:r w:rsidRPr="005C0645">
              <w:rPr>
                <w:color w:val="2D2D2D"/>
                <w:spacing w:val="2"/>
              </w:rPr>
              <w:t>кг</w:t>
            </w:r>
            <w:proofErr w:type="gramEnd"/>
          </w:p>
        </w:tc>
      </w:tr>
      <w:tr w:rsidR="00EF303C" w:rsidRPr="005C0645" w:rsidTr="00EF303C">
        <w:tc>
          <w:tcPr>
            <w:tcW w:w="2027" w:type="dxa"/>
            <w:vMerge/>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p>
        </w:tc>
        <w:tc>
          <w:tcPr>
            <w:tcW w:w="2027"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участок №1</w:t>
            </w:r>
          </w:p>
        </w:tc>
        <w:tc>
          <w:tcPr>
            <w:tcW w:w="2027"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кладовая участка №1</w:t>
            </w:r>
          </w:p>
        </w:tc>
        <w:tc>
          <w:tcPr>
            <w:tcW w:w="2028"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участок №2</w:t>
            </w:r>
          </w:p>
        </w:tc>
        <w:tc>
          <w:tcPr>
            <w:tcW w:w="2028"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кладовая участка №2</w:t>
            </w:r>
          </w:p>
        </w:tc>
      </w:tr>
      <w:tr w:rsidR="00EF303C" w:rsidRPr="005C0645" w:rsidTr="00EF303C">
        <w:tc>
          <w:tcPr>
            <w:tcW w:w="2027"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Х/б пряжа</w:t>
            </w:r>
          </w:p>
        </w:tc>
        <w:tc>
          <w:tcPr>
            <w:tcW w:w="2027"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1500</w:t>
            </w:r>
          </w:p>
        </w:tc>
        <w:tc>
          <w:tcPr>
            <w:tcW w:w="2027"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100</w:t>
            </w:r>
          </w:p>
        </w:tc>
        <w:tc>
          <w:tcPr>
            <w:tcW w:w="2028"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600</w:t>
            </w:r>
          </w:p>
        </w:tc>
        <w:tc>
          <w:tcPr>
            <w:tcW w:w="2028"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100</w:t>
            </w:r>
          </w:p>
        </w:tc>
      </w:tr>
      <w:tr w:rsidR="00EF303C" w:rsidRPr="005C0645" w:rsidTr="00EF303C">
        <w:tc>
          <w:tcPr>
            <w:tcW w:w="2027"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Бумага</w:t>
            </w:r>
          </w:p>
        </w:tc>
        <w:tc>
          <w:tcPr>
            <w:tcW w:w="2027"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w:t>
            </w:r>
          </w:p>
        </w:tc>
        <w:tc>
          <w:tcPr>
            <w:tcW w:w="2027"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150</w:t>
            </w:r>
          </w:p>
        </w:tc>
        <w:tc>
          <w:tcPr>
            <w:tcW w:w="2028"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w:t>
            </w:r>
          </w:p>
        </w:tc>
        <w:tc>
          <w:tcPr>
            <w:tcW w:w="2028"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w:t>
            </w:r>
          </w:p>
        </w:tc>
      </w:tr>
      <w:tr w:rsidR="00EF303C" w:rsidRPr="005C0645" w:rsidTr="00EF303C">
        <w:tc>
          <w:tcPr>
            <w:tcW w:w="2027"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Эластик</w:t>
            </w:r>
          </w:p>
        </w:tc>
        <w:tc>
          <w:tcPr>
            <w:tcW w:w="2027"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200</w:t>
            </w:r>
          </w:p>
        </w:tc>
        <w:tc>
          <w:tcPr>
            <w:tcW w:w="2027"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w:t>
            </w:r>
          </w:p>
        </w:tc>
        <w:tc>
          <w:tcPr>
            <w:tcW w:w="2028"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200</w:t>
            </w:r>
          </w:p>
        </w:tc>
        <w:tc>
          <w:tcPr>
            <w:tcW w:w="2028"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w:t>
            </w:r>
          </w:p>
        </w:tc>
      </w:tr>
      <w:tr w:rsidR="00EF303C" w:rsidRPr="005C0645" w:rsidTr="00EF303C">
        <w:tc>
          <w:tcPr>
            <w:tcW w:w="2027"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Пластик</w:t>
            </w:r>
          </w:p>
        </w:tc>
        <w:tc>
          <w:tcPr>
            <w:tcW w:w="2027"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30</w:t>
            </w:r>
          </w:p>
        </w:tc>
        <w:tc>
          <w:tcPr>
            <w:tcW w:w="2027"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w:t>
            </w:r>
          </w:p>
        </w:tc>
        <w:tc>
          <w:tcPr>
            <w:tcW w:w="2028"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30</w:t>
            </w:r>
          </w:p>
        </w:tc>
        <w:tc>
          <w:tcPr>
            <w:tcW w:w="2028"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w:t>
            </w:r>
          </w:p>
        </w:tc>
      </w:tr>
      <w:tr w:rsidR="00EF303C" w:rsidRPr="005C0645" w:rsidTr="00EF303C">
        <w:tc>
          <w:tcPr>
            <w:tcW w:w="2027"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Фанера</w:t>
            </w:r>
          </w:p>
        </w:tc>
        <w:tc>
          <w:tcPr>
            <w:tcW w:w="2027"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w:t>
            </w:r>
          </w:p>
        </w:tc>
        <w:tc>
          <w:tcPr>
            <w:tcW w:w="2027"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10</w:t>
            </w:r>
          </w:p>
        </w:tc>
        <w:tc>
          <w:tcPr>
            <w:tcW w:w="2028"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w:t>
            </w:r>
          </w:p>
        </w:tc>
        <w:tc>
          <w:tcPr>
            <w:tcW w:w="2028"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10</w:t>
            </w:r>
          </w:p>
        </w:tc>
      </w:tr>
    </w:tbl>
    <w:p w:rsidR="001E2F8D" w:rsidRPr="005C0645" w:rsidRDefault="001E2F8D" w:rsidP="005C0645">
      <w:pPr>
        <w:spacing w:after="0" w:line="240" w:lineRule="auto"/>
        <w:ind w:firstLine="709"/>
        <w:jc w:val="both"/>
        <w:rPr>
          <w:rFonts w:ascii="Times New Roman" w:hAnsi="Times New Roman" w:cs="Times New Roman"/>
          <w:sz w:val="24"/>
          <w:szCs w:val="24"/>
        </w:rPr>
      </w:pPr>
    </w:p>
    <w:p w:rsidR="00763D3B" w:rsidRPr="005C0645" w:rsidRDefault="00763D3B" w:rsidP="005C0645">
      <w:pPr>
        <w:spacing w:after="0" w:line="240" w:lineRule="auto"/>
        <w:ind w:firstLine="709"/>
        <w:jc w:val="both"/>
        <w:rPr>
          <w:rFonts w:ascii="Times New Roman" w:hAnsi="Times New Roman" w:cs="Times New Roman"/>
          <w:sz w:val="24"/>
          <w:szCs w:val="24"/>
        </w:rPr>
      </w:pPr>
      <w:r w:rsidRPr="005C0645">
        <w:rPr>
          <w:rFonts w:ascii="Times New Roman" w:hAnsi="Times New Roman" w:cs="Times New Roman"/>
          <w:sz w:val="24"/>
          <w:szCs w:val="24"/>
        </w:rPr>
        <w:t>Таблица 3  – Низшая теплота сгорания</w:t>
      </w:r>
    </w:p>
    <w:tbl>
      <w:tblPr>
        <w:tblStyle w:val="a5"/>
        <w:tblW w:w="0" w:type="auto"/>
        <w:tblLook w:val="04A0" w:firstRow="1" w:lastRow="0" w:firstColumn="1" w:lastColumn="0" w:noHBand="0" w:noVBand="1"/>
      </w:tblPr>
      <w:tblGrid>
        <w:gridCol w:w="2415"/>
        <w:gridCol w:w="1102"/>
        <w:gridCol w:w="1438"/>
        <w:gridCol w:w="1226"/>
        <w:gridCol w:w="1653"/>
        <w:gridCol w:w="1737"/>
      </w:tblGrid>
      <w:tr w:rsidR="00EF303C" w:rsidRPr="005C0645" w:rsidTr="00EF303C">
        <w:tc>
          <w:tcPr>
            <w:tcW w:w="2660"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Материал</w:t>
            </w:r>
          </w:p>
        </w:tc>
        <w:tc>
          <w:tcPr>
            <w:tcW w:w="1134"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Бумага</w:t>
            </w:r>
          </w:p>
        </w:tc>
        <w:tc>
          <w:tcPr>
            <w:tcW w:w="1559"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Х/б пряжа</w:t>
            </w:r>
          </w:p>
        </w:tc>
        <w:tc>
          <w:tcPr>
            <w:tcW w:w="1276"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Фанера</w:t>
            </w:r>
          </w:p>
        </w:tc>
        <w:tc>
          <w:tcPr>
            <w:tcW w:w="1701"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Пластмасса</w:t>
            </w:r>
          </w:p>
        </w:tc>
        <w:tc>
          <w:tcPr>
            <w:tcW w:w="1807"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Эластик (полиамид)</w:t>
            </w:r>
          </w:p>
        </w:tc>
      </w:tr>
      <w:tr w:rsidR="00EF303C" w:rsidRPr="005C0645" w:rsidTr="00EF303C">
        <w:tc>
          <w:tcPr>
            <w:tcW w:w="2660" w:type="dxa"/>
            <w:vAlign w:val="center"/>
          </w:tcPr>
          <w:p w:rsidR="00EF303C" w:rsidRPr="005C0645" w:rsidRDefault="00EF303C" w:rsidP="005C0645">
            <w:pPr>
              <w:pStyle w:val="formattext"/>
              <w:shd w:val="clear" w:color="auto" w:fill="FFFFFF"/>
              <w:spacing w:before="0" w:beforeAutospacing="0" w:after="0" w:afterAutospacing="0"/>
              <w:jc w:val="center"/>
              <w:textAlignment w:val="baseline"/>
              <w:rPr>
                <w:color w:val="2D2D2D"/>
                <w:spacing w:val="2"/>
              </w:rPr>
            </w:pPr>
            <w:r w:rsidRPr="005C0645">
              <w:rPr>
                <w:color w:val="2D2D2D"/>
                <w:spacing w:val="2"/>
              </w:rPr>
              <w:t xml:space="preserve">Значение теплоты сгорания </w:t>
            </w:r>
            <w:proofErr w:type="spellStart"/>
            <w:r w:rsidRPr="005C0645">
              <w:rPr>
                <w:color w:val="000000"/>
                <w:lang w:val="en-US" w:bidi="en-US"/>
              </w:rPr>
              <w:t>Q</w:t>
            </w:r>
            <w:r w:rsidRPr="005C0645">
              <w:rPr>
                <w:color w:val="000000"/>
                <w:vertAlign w:val="subscript"/>
                <w:lang w:val="en-US" w:bidi="en-US"/>
              </w:rPr>
              <w:t>h</w:t>
            </w:r>
            <w:proofErr w:type="spellEnd"/>
            <w:r w:rsidRPr="005C0645">
              <w:rPr>
                <w:color w:val="000000"/>
                <w:vertAlign w:val="subscript"/>
                <w:lang w:bidi="en-US"/>
              </w:rPr>
              <w:t xml:space="preserve">  </w:t>
            </w:r>
            <w:r w:rsidRPr="005C0645">
              <w:rPr>
                <w:color w:val="2D2D2D"/>
                <w:spacing w:val="2"/>
              </w:rPr>
              <w:t>(МДж)</w:t>
            </w:r>
          </w:p>
        </w:tc>
        <w:tc>
          <w:tcPr>
            <w:tcW w:w="1134"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17,6</w:t>
            </w:r>
          </w:p>
        </w:tc>
        <w:tc>
          <w:tcPr>
            <w:tcW w:w="1559"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17,50</w:t>
            </w:r>
          </w:p>
        </w:tc>
        <w:tc>
          <w:tcPr>
            <w:tcW w:w="1276"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16,1</w:t>
            </w:r>
          </w:p>
        </w:tc>
        <w:tc>
          <w:tcPr>
            <w:tcW w:w="1701"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41,87</w:t>
            </w:r>
          </w:p>
        </w:tc>
        <w:tc>
          <w:tcPr>
            <w:tcW w:w="1807" w:type="dxa"/>
            <w:vAlign w:val="center"/>
          </w:tcPr>
          <w:p w:rsidR="00EF303C" w:rsidRPr="005C0645" w:rsidRDefault="00EF303C" w:rsidP="005C0645">
            <w:pPr>
              <w:pStyle w:val="formattext"/>
              <w:spacing w:before="0" w:beforeAutospacing="0" w:after="0" w:afterAutospacing="0"/>
              <w:jc w:val="center"/>
              <w:textAlignment w:val="baseline"/>
              <w:rPr>
                <w:color w:val="2D2D2D"/>
                <w:spacing w:val="2"/>
              </w:rPr>
            </w:pPr>
            <w:r w:rsidRPr="005C0645">
              <w:rPr>
                <w:color w:val="2D2D2D"/>
                <w:spacing w:val="2"/>
              </w:rPr>
              <w:t>31</w:t>
            </w:r>
          </w:p>
        </w:tc>
      </w:tr>
    </w:tbl>
    <w:p w:rsidR="005D2CAD" w:rsidRPr="005C0645" w:rsidRDefault="005D2CAD" w:rsidP="005C0645">
      <w:pPr>
        <w:spacing w:after="0" w:line="240" w:lineRule="auto"/>
        <w:ind w:firstLine="709"/>
        <w:jc w:val="both"/>
        <w:rPr>
          <w:rFonts w:ascii="Times New Roman" w:hAnsi="Times New Roman" w:cs="Times New Roman"/>
          <w:sz w:val="24"/>
          <w:szCs w:val="24"/>
        </w:rPr>
      </w:pPr>
    </w:p>
    <w:p w:rsidR="001E2F8D" w:rsidRPr="005C0645" w:rsidRDefault="001E2F8D" w:rsidP="005C0645">
      <w:pPr>
        <w:spacing w:after="0" w:line="240" w:lineRule="auto"/>
        <w:ind w:firstLine="709"/>
        <w:jc w:val="both"/>
        <w:rPr>
          <w:rFonts w:ascii="Times New Roman" w:hAnsi="Times New Roman" w:cs="Times New Roman"/>
          <w:sz w:val="24"/>
          <w:szCs w:val="24"/>
          <w:lang w:val="en-US"/>
        </w:rPr>
      </w:pPr>
      <w:r w:rsidRPr="005C0645">
        <w:rPr>
          <w:rFonts w:ascii="Times New Roman" w:hAnsi="Times New Roman" w:cs="Times New Roman"/>
          <w:sz w:val="24"/>
          <w:szCs w:val="24"/>
        </w:rPr>
        <w:t xml:space="preserve">Из приведенных данных следует, что пожарная нагрузка  определяется  сочетанием (смесью) горючих, </w:t>
      </w:r>
      <w:proofErr w:type="spellStart"/>
      <w:r w:rsidRPr="005C0645">
        <w:rPr>
          <w:rFonts w:ascii="Times New Roman" w:hAnsi="Times New Roman" w:cs="Times New Roman"/>
          <w:sz w:val="24"/>
          <w:szCs w:val="24"/>
        </w:rPr>
        <w:t>трудногорючих</w:t>
      </w:r>
      <w:proofErr w:type="spellEnd"/>
      <w:r w:rsidRPr="005C0645">
        <w:rPr>
          <w:rFonts w:ascii="Times New Roman" w:hAnsi="Times New Roman" w:cs="Times New Roman"/>
          <w:sz w:val="24"/>
          <w:szCs w:val="24"/>
        </w:rPr>
        <w:t xml:space="preserve"> жидкостей, твердых горючих и </w:t>
      </w:r>
      <w:proofErr w:type="spellStart"/>
      <w:r w:rsidRPr="005C0645">
        <w:rPr>
          <w:rFonts w:ascii="Times New Roman" w:hAnsi="Times New Roman" w:cs="Times New Roman"/>
          <w:sz w:val="24"/>
          <w:szCs w:val="24"/>
        </w:rPr>
        <w:t>трудногорючих</w:t>
      </w:r>
      <w:proofErr w:type="spellEnd"/>
      <w:r w:rsidRPr="005C0645">
        <w:rPr>
          <w:rFonts w:ascii="Times New Roman" w:hAnsi="Times New Roman" w:cs="Times New Roman"/>
          <w:sz w:val="24"/>
          <w:szCs w:val="24"/>
        </w:rPr>
        <w:t xml:space="preserve"> веществ и материалов. Для оценки ее величины может быть использована формула (1) [</w:t>
      </w:r>
      <w:r w:rsidR="00332BF0">
        <w:rPr>
          <w:rFonts w:ascii="Times New Roman" w:hAnsi="Times New Roman" w:cs="Times New Roman"/>
          <w:sz w:val="24"/>
          <w:szCs w:val="24"/>
        </w:rPr>
        <w:t>2</w:t>
      </w:r>
      <w:r w:rsidRPr="005C0645">
        <w:rPr>
          <w:rFonts w:ascii="Times New Roman" w:hAnsi="Times New Roman" w:cs="Times New Roman"/>
          <w:sz w:val="24"/>
          <w:szCs w:val="24"/>
          <w:lang w:val="en-US"/>
        </w:rPr>
        <w:t>]</w:t>
      </w:r>
      <w:r w:rsidRPr="005C0645">
        <w:rPr>
          <w:rFonts w:ascii="Times New Roman" w:hAnsi="Times New Roman" w:cs="Times New Roman"/>
          <w:sz w:val="24"/>
          <w:szCs w:val="24"/>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10"/>
      </w:tblGrid>
      <w:tr w:rsidR="001E2F8D" w:rsidRPr="005C0645" w:rsidTr="001E2F8D">
        <w:tc>
          <w:tcPr>
            <w:tcW w:w="8755" w:type="dxa"/>
          </w:tcPr>
          <w:p w:rsidR="001E2F8D" w:rsidRPr="005C0645" w:rsidRDefault="001E2F8D" w:rsidP="005C0645">
            <w:pPr>
              <w:jc w:val="both"/>
              <w:rPr>
                <w:rFonts w:ascii="Times New Roman" w:hAnsi="Times New Roman" w:cs="Times New Roman"/>
                <w:sz w:val="24"/>
                <w:szCs w:val="24"/>
                <w:lang w:val="en-US"/>
              </w:rPr>
            </w:pPr>
            <m:oMathPara>
              <m:oMath>
                <m:r>
                  <w:rPr>
                    <w:rFonts w:ascii="Cambria Math" w:hAnsi="Cambria Math" w:cs="Times New Roman"/>
                    <w:sz w:val="24"/>
                    <w:szCs w:val="24"/>
                  </w:rPr>
                  <w:lastRenderedPageBreak/>
                  <m:t>Q</m:t>
                </m:r>
                <m:r>
                  <w:rPr>
                    <w:rFonts w:ascii="Cambria Math" w:hAnsi="Times New Roman" w:cs="Times New Roman"/>
                    <w:sz w:val="24"/>
                    <w:szCs w:val="24"/>
                  </w:rPr>
                  <m:t>=</m:t>
                </m:r>
                <m:nary>
                  <m:naryPr>
                    <m:chr m:val="∑"/>
                    <m:limLoc m:val="subSup"/>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sSubSup>
                      <m:sSubSupPr>
                        <m:ctrlPr>
                          <w:rPr>
                            <w:rFonts w:ascii="Cambria Math" w:hAnsi="Times New Roman" w:cs="Times New Roman"/>
                            <w:i/>
                            <w:sz w:val="24"/>
                            <w:szCs w:val="24"/>
                          </w:rPr>
                        </m:ctrlPr>
                      </m:sSubSupPr>
                      <m:e>
                        <m:r>
                          <w:rPr>
                            <w:rFonts w:ascii="Cambria Math" w:hAnsi="Cambria Math" w:cs="Times New Roman"/>
                            <w:sz w:val="24"/>
                            <w:szCs w:val="24"/>
                          </w:rPr>
                          <m:t>Q</m:t>
                        </m:r>
                      </m:e>
                      <m:sub>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i</m:t>
                            </m:r>
                          </m:sub>
                        </m:sSub>
                      </m:sub>
                      <m:sup>
                        <m:r>
                          <w:rPr>
                            <w:rFonts w:ascii="Cambria Math" w:hAnsi="Cambria Math" w:cs="Times New Roman"/>
                            <w:sz w:val="24"/>
                            <w:szCs w:val="24"/>
                          </w:rPr>
                          <m:t>p</m:t>
                        </m:r>
                      </m:sup>
                    </m:sSubSup>
                  </m:e>
                </m:nary>
              </m:oMath>
            </m:oMathPara>
          </w:p>
        </w:tc>
        <w:tc>
          <w:tcPr>
            <w:tcW w:w="710" w:type="dxa"/>
            <w:vAlign w:val="center"/>
          </w:tcPr>
          <w:p w:rsidR="001E2F8D" w:rsidRPr="005C0645" w:rsidRDefault="001E2F8D" w:rsidP="005C0645">
            <w:pPr>
              <w:jc w:val="center"/>
              <w:rPr>
                <w:rFonts w:ascii="Times New Roman" w:hAnsi="Times New Roman" w:cs="Times New Roman"/>
                <w:sz w:val="24"/>
                <w:szCs w:val="24"/>
                <w:lang w:val="en-US"/>
              </w:rPr>
            </w:pPr>
            <w:r w:rsidRPr="005C0645">
              <w:rPr>
                <w:rFonts w:ascii="Times New Roman" w:hAnsi="Times New Roman" w:cs="Times New Roman"/>
                <w:sz w:val="24"/>
                <w:szCs w:val="24"/>
                <w:lang w:val="en-US"/>
              </w:rPr>
              <w:t>(1)</w:t>
            </w:r>
          </w:p>
        </w:tc>
      </w:tr>
    </w:tbl>
    <w:p w:rsidR="0018674A" w:rsidRPr="005C0645" w:rsidRDefault="0018674A" w:rsidP="005C0645">
      <w:pPr>
        <w:spacing w:after="0" w:line="240" w:lineRule="auto"/>
        <w:ind w:firstLine="709"/>
        <w:jc w:val="both"/>
        <w:rPr>
          <w:rFonts w:ascii="Times New Roman" w:hAnsi="Times New Roman" w:cs="Times New Roman"/>
          <w:sz w:val="24"/>
          <w:szCs w:val="24"/>
        </w:rPr>
      </w:pPr>
      <w:r w:rsidRPr="005C0645">
        <w:rPr>
          <w:rFonts w:ascii="Times New Roman" w:hAnsi="Times New Roman" w:cs="Times New Roman"/>
          <w:sz w:val="24"/>
          <w:szCs w:val="24"/>
        </w:rPr>
        <w:t xml:space="preserve">где </w:t>
      </w:r>
      <m:oMath>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oMath>
      <w:r w:rsidRPr="005C0645">
        <w:rPr>
          <w:rFonts w:ascii="Times New Roman" w:eastAsiaTheme="minorEastAsia" w:hAnsi="Times New Roman" w:cs="Times New Roman"/>
          <w:sz w:val="24"/>
          <w:szCs w:val="24"/>
        </w:rPr>
        <w:t xml:space="preserve"> – количество </w:t>
      </w:r>
      <w:r w:rsidRPr="005C0645">
        <w:rPr>
          <w:rFonts w:ascii="Times New Roman" w:eastAsiaTheme="minorEastAsia" w:hAnsi="Times New Roman" w:cs="Times New Roman"/>
          <w:i/>
          <w:sz w:val="24"/>
          <w:szCs w:val="24"/>
          <w:lang w:val="en-US"/>
        </w:rPr>
        <w:t>i</w:t>
      </w:r>
      <w:r w:rsidRPr="005C0645">
        <w:rPr>
          <w:rFonts w:ascii="Times New Roman" w:eastAsiaTheme="minorEastAsia" w:hAnsi="Times New Roman" w:cs="Times New Roman"/>
          <w:sz w:val="24"/>
          <w:szCs w:val="24"/>
        </w:rPr>
        <w:t xml:space="preserve">-того материала пожарной нагрузки, </w:t>
      </w:r>
      <w:proofErr w:type="gramStart"/>
      <w:r w:rsidRPr="005C0645">
        <w:rPr>
          <w:rFonts w:ascii="Times New Roman" w:eastAsiaTheme="minorEastAsia" w:hAnsi="Times New Roman" w:cs="Times New Roman"/>
          <w:sz w:val="24"/>
          <w:szCs w:val="24"/>
        </w:rPr>
        <w:t>кг</w:t>
      </w:r>
      <w:proofErr w:type="gramEnd"/>
      <w:r w:rsidRPr="005C0645">
        <w:rPr>
          <w:rFonts w:ascii="Times New Roman" w:eastAsiaTheme="minorEastAsia" w:hAnsi="Times New Roman" w:cs="Times New Roman"/>
          <w:sz w:val="24"/>
          <w:szCs w:val="24"/>
        </w:rPr>
        <w:t>,</w:t>
      </w:r>
      <w:r w:rsidR="001E2F8D" w:rsidRPr="005C0645">
        <w:rPr>
          <w:rFonts w:ascii="Times New Roman" w:eastAsiaTheme="minorEastAsia" w:hAnsi="Times New Roman" w:cs="Times New Roman"/>
          <w:sz w:val="24"/>
          <w:szCs w:val="24"/>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Q</m:t>
            </m:r>
          </m:e>
          <m:sub>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i</m:t>
                </m:r>
              </m:sub>
            </m:sSub>
          </m:sub>
          <m:sup>
            <m:r>
              <w:rPr>
                <w:rFonts w:ascii="Cambria Math" w:hAnsi="Cambria Math" w:cs="Times New Roman"/>
                <w:sz w:val="24"/>
                <w:szCs w:val="24"/>
              </w:rPr>
              <m:t>p</m:t>
            </m:r>
          </m:sup>
        </m:sSubSup>
      </m:oMath>
      <w:r w:rsidRPr="005C0645">
        <w:rPr>
          <w:rFonts w:ascii="Times New Roman" w:eastAsiaTheme="minorEastAsia" w:hAnsi="Times New Roman" w:cs="Times New Roman"/>
          <w:sz w:val="24"/>
          <w:szCs w:val="24"/>
        </w:rPr>
        <w:t xml:space="preserve"> – низшая теплота сгорания </w:t>
      </w:r>
      <w:r w:rsidR="00941EBB" w:rsidRPr="005C0645">
        <w:rPr>
          <w:rFonts w:ascii="Times New Roman" w:eastAsiaTheme="minorEastAsia" w:hAnsi="Times New Roman" w:cs="Times New Roman"/>
          <w:i/>
          <w:sz w:val="24"/>
          <w:szCs w:val="24"/>
          <w:lang w:val="en-US"/>
        </w:rPr>
        <w:t>i</w:t>
      </w:r>
      <w:r w:rsidR="00941EBB" w:rsidRPr="005C0645">
        <w:rPr>
          <w:rFonts w:ascii="Times New Roman" w:eastAsiaTheme="minorEastAsia" w:hAnsi="Times New Roman" w:cs="Times New Roman"/>
          <w:sz w:val="24"/>
          <w:szCs w:val="24"/>
        </w:rPr>
        <w:t>-того материала пожарной нагрузки, МДж·кг</w:t>
      </w:r>
      <w:r w:rsidR="00941EBB" w:rsidRPr="005C0645">
        <w:rPr>
          <w:rFonts w:ascii="Times New Roman" w:eastAsiaTheme="minorEastAsia" w:hAnsi="Times New Roman" w:cs="Times New Roman"/>
          <w:sz w:val="24"/>
          <w:szCs w:val="24"/>
          <w:vertAlign w:val="superscript"/>
        </w:rPr>
        <w:t>-1</w:t>
      </w:r>
      <w:r w:rsidR="00941EBB" w:rsidRPr="005C0645">
        <w:rPr>
          <w:rFonts w:ascii="Times New Roman" w:eastAsiaTheme="minorEastAsia" w:hAnsi="Times New Roman" w:cs="Times New Roman"/>
          <w:sz w:val="24"/>
          <w:szCs w:val="24"/>
        </w:rPr>
        <w:t>.</w:t>
      </w:r>
    </w:p>
    <w:p w:rsidR="00194B01" w:rsidRPr="005C0645" w:rsidRDefault="00194B01" w:rsidP="005C0645">
      <w:pPr>
        <w:spacing w:after="0" w:line="240" w:lineRule="auto"/>
        <w:ind w:firstLine="709"/>
        <w:jc w:val="both"/>
        <w:rPr>
          <w:rFonts w:ascii="Times New Roman" w:hAnsi="Times New Roman" w:cs="Times New Roman"/>
          <w:sz w:val="24"/>
          <w:szCs w:val="24"/>
        </w:rPr>
      </w:pPr>
    </w:p>
    <w:p w:rsidR="00B921CB" w:rsidRPr="005C0645" w:rsidRDefault="00B921CB" w:rsidP="005C0645">
      <w:pPr>
        <w:spacing w:after="0" w:line="240" w:lineRule="auto"/>
        <w:ind w:firstLine="709"/>
        <w:jc w:val="both"/>
        <w:rPr>
          <w:rFonts w:ascii="Times New Roman" w:hAnsi="Times New Roman" w:cs="Times New Roman"/>
          <w:sz w:val="24"/>
          <w:szCs w:val="24"/>
          <w:lang w:val="en-US"/>
        </w:rPr>
      </w:pPr>
      <w:r w:rsidRPr="005C0645">
        <w:rPr>
          <w:rFonts w:ascii="Times New Roman" w:hAnsi="Times New Roman" w:cs="Times New Roman"/>
          <w:sz w:val="24"/>
          <w:szCs w:val="24"/>
        </w:rPr>
        <w:t>Тогда удельная пожарная нагрузка: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10"/>
      </w:tblGrid>
      <w:tr w:rsidR="001E2F8D" w:rsidRPr="005C0645" w:rsidTr="001E2F8D">
        <w:tc>
          <w:tcPr>
            <w:tcW w:w="8755" w:type="dxa"/>
          </w:tcPr>
          <w:p w:rsidR="001E2F8D" w:rsidRPr="005C0645" w:rsidRDefault="001E2F8D" w:rsidP="005C0645">
            <w:pPr>
              <w:jc w:val="both"/>
              <w:rPr>
                <w:rFonts w:ascii="Times New Roman" w:hAnsi="Times New Roman" w:cs="Times New Roman"/>
                <w:sz w:val="24"/>
                <w:szCs w:val="24"/>
                <w:lang w:val="en-US"/>
              </w:rPr>
            </w:pPr>
            <m:oMathPara>
              <m:oMath>
                <m:r>
                  <w:rPr>
                    <w:rFonts w:ascii="Cambria Math" w:hAnsi="Cambria Math" w:cs="Times New Roman"/>
                    <w:sz w:val="24"/>
                    <w:szCs w:val="24"/>
                  </w:rPr>
                  <m:t>g</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S</m:t>
                    </m:r>
                  </m:den>
                </m:f>
              </m:oMath>
            </m:oMathPara>
          </w:p>
        </w:tc>
        <w:tc>
          <w:tcPr>
            <w:tcW w:w="710" w:type="dxa"/>
            <w:vAlign w:val="center"/>
          </w:tcPr>
          <w:p w:rsidR="001E2F8D" w:rsidRPr="005C0645" w:rsidRDefault="001E2F8D" w:rsidP="005C0645">
            <w:pPr>
              <w:jc w:val="center"/>
              <w:rPr>
                <w:rFonts w:ascii="Times New Roman" w:hAnsi="Times New Roman" w:cs="Times New Roman"/>
                <w:sz w:val="24"/>
                <w:szCs w:val="24"/>
                <w:lang w:val="en-US"/>
              </w:rPr>
            </w:pPr>
            <w:r w:rsidRPr="005C0645">
              <w:rPr>
                <w:rFonts w:ascii="Times New Roman" w:hAnsi="Times New Roman" w:cs="Times New Roman"/>
                <w:sz w:val="24"/>
                <w:szCs w:val="24"/>
                <w:lang w:val="en-US"/>
              </w:rPr>
              <w:t>(2)</w:t>
            </w:r>
          </w:p>
        </w:tc>
      </w:tr>
    </w:tbl>
    <w:p w:rsidR="008D4068" w:rsidRPr="005C0645" w:rsidRDefault="00941EBB" w:rsidP="005C0645">
      <w:pPr>
        <w:spacing w:after="0" w:line="240" w:lineRule="auto"/>
        <w:ind w:firstLine="709"/>
        <w:jc w:val="both"/>
        <w:rPr>
          <w:rFonts w:ascii="Times New Roman" w:hAnsi="Times New Roman" w:cs="Times New Roman"/>
          <w:sz w:val="24"/>
          <w:szCs w:val="24"/>
        </w:rPr>
      </w:pPr>
      <w:r w:rsidRPr="005C0645">
        <w:rPr>
          <w:rFonts w:ascii="Times New Roman" w:hAnsi="Times New Roman" w:cs="Times New Roman"/>
          <w:sz w:val="24"/>
          <w:szCs w:val="24"/>
        </w:rPr>
        <w:t>где</w:t>
      </w:r>
      <w:r w:rsidR="008D4068" w:rsidRPr="005C0645">
        <w:rPr>
          <w:rFonts w:ascii="Times New Roman" w:hAnsi="Times New Roman" w:cs="Times New Roman"/>
          <w:sz w:val="24"/>
          <w:szCs w:val="24"/>
        </w:rPr>
        <w:t xml:space="preserve"> </w:t>
      </w:r>
      <w:r w:rsidRPr="005C0645">
        <w:rPr>
          <w:rFonts w:ascii="Times New Roman" w:hAnsi="Times New Roman" w:cs="Times New Roman"/>
          <w:i/>
          <w:sz w:val="24"/>
          <w:szCs w:val="24"/>
          <w:lang w:val="en-US"/>
        </w:rPr>
        <w:t>S</w:t>
      </w:r>
      <w:r w:rsidRPr="005C0645">
        <w:rPr>
          <w:rFonts w:ascii="Times New Roman" w:hAnsi="Times New Roman" w:cs="Times New Roman"/>
          <w:sz w:val="24"/>
          <w:szCs w:val="24"/>
        </w:rPr>
        <w:t xml:space="preserve"> – площадь размещения пожарной нагрузки, м</w:t>
      </w:r>
      <w:proofErr w:type="gramStart"/>
      <w:r w:rsidRPr="005C0645">
        <w:rPr>
          <w:rFonts w:ascii="Times New Roman" w:hAnsi="Times New Roman" w:cs="Times New Roman"/>
          <w:sz w:val="24"/>
          <w:szCs w:val="24"/>
          <w:vertAlign w:val="superscript"/>
        </w:rPr>
        <w:t>2</w:t>
      </w:r>
      <w:proofErr w:type="gramEnd"/>
      <w:r w:rsidRPr="005C0645">
        <w:rPr>
          <w:rFonts w:ascii="Times New Roman" w:hAnsi="Times New Roman" w:cs="Times New Roman"/>
          <w:sz w:val="24"/>
          <w:szCs w:val="24"/>
        </w:rPr>
        <w:t xml:space="preserve"> (но не менее 10 м</w:t>
      </w:r>
      <w:r w:rsidRPr="005C0645">
        <w:rPr>
          <w:rFonts w:ascii="Times New Roman" w:hAnsi="Times New Roman" w:cs="Times New Roman"/>
          <w:sz w:val="24"/>
          <w:szCs w:val="24"/>
          <w:vertAlign w:val="superscript"/>
        </w:rPr>
        <w:t>2</w:t>
      </w:r>
      <w:r w:rsidRPr="005C0645">
        <w:rPr>
          <w:rFonts w:ascii="Times New Roman" w:hAnsi="Times New Roman" w:cs="Times New Roman"/>
          <w:sz w:val="24"/>
          <w:szCs w:val="24"/>
        </w:rPr>
        <w:t>)</w:t>
      </w:r>
    </w:p>
    <w:p w:rsidR="00B921CB" w:rsidRPr="005C0645" w:rsidRDefault="00B921CB" w:rsidP="005C0645">
      <w:pPr>
        <w:spacing w:after="0" w:line="240" w:lineRule="auto"/>
        <w:ind w:firstLine="709"/>
        <w:jc w:val="both"/>
        <w:rPr>
          <w:rFonts w:ascii="Times New Roman" w:hAnsi="Times New Roman" w:cs="Times New Roman"/>
          <w:sz w:val="24"/>
          <w:szCs w:val="24"/>
        </w:rPr>
      </w:pPr>
      <w:r w:rsidRPr="005C0645">
        <w:rPr>
          <w:rFonts w:ascii="Times New Roman" w:hAnsi="Times New Roman" w:cs="Times New Roman"/>
          <w:sz w:val="24"/>
          <w:szCs w:val="24"/>
        </w:rPr>
        <w:t xml:space="preserve">Результаты расчетов </w:t>
      </w:r>
      <w:r w:rsidR="00AC5734" w:rsidRPr="005C0645">
        <w:rPr>
          <w:rFonts w:ascii="Times New Roman" w:hAnsi="Times New Roman" w:cs="Times New Roman"/>
          <w:sz w:val="24"/>
          <w:szCs w:val="24"/>
        </w:rPr>
        <w:t>для участ</w:t>
      </w:r>
      <w:r w:rsidR="001060FD" w:rsidRPr="005C0645">
        <w:rPr>
          <w:rFonts w:ascii="Times New Roman" w:hAnsi="Times New Roman" w:cs="Times New Roman"/>
          <w:sz w:val="24"/>
          <w:szCs w:val="24"/>
        </w:rPr>
        <w:t>к</w:t>
      </w:r>
      <w:r w:rsidR="00AC5734" w:rsidRPr="005C0645">
        <w:rPr>
          <w:rFonts w:ascii="Times New Roman" w:hAnsi="Times New Roman" w:cs="Times New Roman"/>
          <w:sz w:val="24"/>
          <w:szCs w:val="24"/>
        </w:rPr>
        <w:t>ов, а такж</w:t>
      </w:r>
      <w:r w:rsidR="001060FD" w:rsidRPr="005C0645">
        <w:rPr>
          <w:rFonts w:ascii="Times New Roman" w:hAnsi="Times New Roman" w:cs="Times New Roman"/>
          <w:sz w:val="24"/>
          <w:szCs w:val="24"/>
        </w:rPr>
        <w:t>е</w:t>
      </w:r>
      <w:r w:rsidR="00AC5734" w:rsidRPr="005C0645">
        <w:rPr>
          <w:rFonts w:ascii="Times New Roman" w:hAnsi="Times New Roman" w:cs="Times New Roman"/>
          <w:sz w:val="24"/>
          <w:szCs w:val="24"/>
        </w:rPr>
        <w:t xml:space="preserve"> их кладовых </w:t>
      </w:r>
      <w:r w:rsidRPr="005C0645">
        <w:rPr>
          <w:rFonts w:ascii="Times New Roman" w:hAnsi="Times New Roman" w:cs="Times New Roman"/>
          <w:sz w:val="24"/>
          <w:szCs w:val="24"/>
        </w:rPr>
        <w:t>представлены в</w:t>
      </w:r>
      <w:r w:rsidR="001E2F8D" w:rsidRPr="005C0645">
        <w:rPr>
          <w:rFonts w:ascii="Times New Roman" w:hAnsi="Times New Roman" w:cs="Times New Roman"/>
          <w:sz w:val="24"/>
          <w:szCs w:val="24"/>
        </w:rPr>
        <w:t xml:space="preserve"> </w:t>
      </w:r>
      <w:r w:rsidRPr="005C0645">
        <w:rPr>
          <w:rFonts w:ascii="Times New Roman" w:hAnsi="Times New Roman" w:cs="Times New Roman"/>
          <w:sz w:val="24"/>
          <w:szCs w:val="24"/>
        </w:rPr>
        <w:t>таблице 4.</w:t>
      </w:r>
    </w:p>
    <w:p w:rsidR="005C0645" w:rsidRPr="005B1481" w:rsidRDefault="005C0645" w:rsidP="005C0645">
      <w:pPr>
        <w:spacing w:after="0" w:line="240" w:lineRule="auto"/>
        <w:ind w:firstLine="709"/>
        <w:jc w:val="both"/>
        <w:rPr>
          <w:rFonts w:ascii="Times New Roman" w:hAnsi="Times New Roman" w:cs="Times New Roman"/>
          <w:sz w:val="24"/>
          <w:szCs w:val="24"/>
        </w:rPr>
      </w:pPr>
    </w:p>
    <w:p w:rsidR="00B921CB" w:rsidRPr="005C0645" w:rsidRDefault="00B921CB" w:rsidP="005C0645">
      <w:pPr>
        <w:spacing w:after="0" w:line="240" w:lineRule="auto"/>
        <w:ind w:firstLine="709"/>
        <w:jc w:val="both"/>
        <w:rPr>
          <w:rFonts w:ascii="Times New Roman" w:hAnsi="Times New Roman" w:cs="Times New Roman"/>
          <w:sz w:val="24"/>
          <w:szCs w:val="24"/>
        </w:rPr>
      </w:pPr>
      <w:r w:rsidRPr="005C0645">
        <w:rPr>
          <w:rFonts w:ascii="Times New Roman" w:hAnsi="Times New Roman" w:cs="Times New Roman"/>
          <w:sz w:val="24"/>
          <w:szCs w:val="24"/>
        </w:rPr>
        <w:t xml:space="preserve">Таблица 4. </w:t>
      </w:r>
      <w:r w:rsidR="008D4068" w:rsidRPr="005C0645">
        <w:rPr>
          <w:rFonts w:ascii="Times New Roman" w:hAnsi="Times New Roman" w:cs="Times New Roman"/>
          <w:sz w:val="24"/>
          <w:szCs w:val="24"/>
        </w:rPr>
        <w:t>Результаты расчета  параметров пожарной нагрузки.</w:t>
      </w:r>
    </w:p>
    <w:tbl>
      <w:tblPr>
        <w:tblStyle w:val="11"/>
        <w:tblW w:w="10137" w:type="dxa"/>
        <w:tblLook w:val="04A0" w:firstRow="1" w:lastRow="0" w:firstColumn="1" w:lastColumn="0" w:noHBand="0" w:noVBand="1"/>
      </w:tblPr>
      <w:tblGrid>
        <w:gridCol w:w="2027"/>
        <w:gridCol w:w="2027"/>
        <w:gridCol w:w="2027"/>
        <w:gridCol w:w="2028"/>
        <w:gridCol w:w="2028"/>
      </w:tblGrid>
      <w:tr w:rsidR="00941EBB" w:rsidRPr="005C0645" w:rsidTr="00941EBB">
        <w:tc>
          <w:tcPr>
            <w:tcW w:w="2027" w:type="dxa"/>
            <w:vAlign w:val="center"/>
          </w:tcPr>
          <w:p w:rsidR="00941EBB" w:rsidRPr="005C0645" w:rsidRDefault="00941EBB" w:rsidP="005C0645">
            <w:pPr>
              <w:pStyle w:val="Bodytext20"/>
              <w:shd w:val="clear" w:color="auto" w:fill="auto"/>
              <w:spacing w:line="240" w:lineRule="auto"/>
              <w:ind w:right="23"/>
              <w:contextualSpacing/>
              <w:jc w:val="center"/>
              <w:rPr>
                <w:color w:val="000000"/>
                <w:sz w:val="24"/>
                <w:szCs w:val="24"/>
                <w:lang w:eastAsia="ru-RU" w:bidi="ru-RU"/>
              </w:rPr>
            </w:pPr>
            <w:r w:rsidRPr="005C0645">
              <w:rPr>
                <w:color w:val="000000" w:themeColor="text1"/>
                <w:sz w:val="24"/>
                <w:szCs w:val="24"/>
                <w:lang w:eastAsia="ru-RU" w:bidi="ru-RU"/>
              </w:rPr>
              <w:t>Пожарная нагрузка</w:t>
            </w:r>
          </w:p>
        </w:tc>
        <w:tc>
          <w:tcPr>
            <w:tcW w:w="2027" w:type="dxa"/>
            <w:vAlign w:val="center"/>
          </w:tcPr>
          <w:p w:rsidR="00941EBB" w:rsidRPr="005C0645" w:rsidRDefault="00941EBB" w:rsidP="005C0645">
            <w:pPr>
              <w:pStyle w:val="Bodytext20"/>
              <w:shd w:val="clear" w:color="auto" w:fill="auto"/>
              <w:spacing w:line="240" w:lineRule="auto"/>
              <w:ind w:right="23"/>
              <w:contextualSpacing/>
              <w:jc w:val="center"/>
              <w:rPr>
                <w:color w:val="000000"/>
                <w:sz w:val="24"/>
                <w:szCs w:val="24"/>
                <w:lang w:eastAsia="ru-RU" w:bidi="ru-RU"/>
              </w:rPr>
            </w:pPr>
            <w:r w:rsidRPr="005C0645">
              <w:rPr>
                <w:color w:val="000000"/>
                <w:sz w:val="24"/>
                <w:szCs w:val="24"/>
                <w:lang w:eastAsia="ru-RU" w:bidi="ru-RU"/>
              </w:rPr>
              <w:t>Участок №1</w:t>
            </w:r>
          </w:p>
        </w:tc>
        <w:tc>
          <w:tcPr>
            <w:tcW w:w="2027" w:type="dxa"/>
            <w:vAlign w:val="center"/>
          </w:tcPr>
          <w:p w:rsidR="00941EBB" w:rsidRPr="005C0645" w:rsidRDefault="00941EBB" w:rsidP="005C0645">
            <w:pPr>
              <w:pStyle w:val="Bodytext20"/>
              <w:shd w:val="clear" w:color="auto" w:fill="auto"/>
              <w:spacing w:line="240" w:lineRule="auto"/>
              <w:ind w:right="23"/>
              <w:contextualSpacing/>
              <w:jc w:val="center"/>
              <w:rPr>
                <w:color w:val="000000"/>
                <w:sz w:val="24"/>
                <w:szCs w:val="24"/>
                <w:lang w:eastAsia="ru-RU" w:bidi="ru-RU"/>
              </w:rPr>
            </w:pPr>
            <w:r w:rsidRPr="005C0645">
              <w:rPr>
                <w:color w:val="000000"/>
                <w:sz w:val="24"/>
                <w:szCs w:val="24"/>
                <w:lang w:eastAsia="ru-RU" w:bidi="ru-RU"/>
              </w:rPr>
              <w:t>Кладовая участка №1</w:t>
            </w:r>
          </w:p>
        </w:tc>
        <w:tc>
          <w:tcPr>
            <w:tcW w:w="2028" w:type="dxa"/>
            <w:vAlign w:val="center"/>
          </w:tcPr>
          <w:p w:rsidR="00941EBB" w:rsidRPr="005C0645" w:rsidRDefault="00941EBB" w:rsidP="005C0645">
            <w:pPr>
              <w:pStyle w:val="Bodytext20"/>
              <w:shd w:val="clear" w:color="auto" w:fill="auto"/>
              <w:spacing w:line="240" w:lineRule="auto"/>
              <w:ind w:right="23"/>
              <w:contextualSpacing/>
              <w:jc w:val="center"/>
              <w:rPr>
                <w:color w:val="000000"/>
                <w:sz w:val="24"/>
                <w:szCs w:val="24"/>
                <w:lang w:eastAsia="ru-RU" w:bidi="ru-RU"/>
              </w:rPr>
            </w:pPr>
            <w:r w:rsidRPr="005C0645">
              <w:rPr>
                <w:color w:val="000000"/>
                <w:sz w:val="24"/>
                <w:szCs w:val="24"/>
                <w:lang w:eastAsia="ru-RU" w:bidi="ru-RU"/>
              </w:rPr>
              <w:t>Участок №2</w:t>
            </w:r>
          </w:p>
        </w:tc>
        <w:tc>
          <w:tcPr>
            <w:tcW w:w="2028" w:type="dxa"/>
            <w:vAlign w:val="center"/>
          </w:tcPr>
          <w:p w:rsidR="00941EBB" w:rsidRPr="005C0645" w:rsidRDefault="00941EBB" w:rsidP="005C0645">
            <w:pPr>
              <w:pStyle w:val="Bodytext20"/>
              <w:shd w:val="clear" w:color="auto" w:fill="auto"/>
              <w:spacing w:line="240" w:lineRule="auto"/>
              <w:ind w:right="23"/>
              <w:contextualSpacing/>
              <w:jc w:val="center"/>
              <w:rPr>
                <w:color w:val="000000"/>
                <w:sz w:val="24"/>
                <w:szCs w:val="24"/>
                <w:lang w:eastAsia="ru-RU" w:bidi="ru-RU"/>
              </w:rPr>
            </w:pPr>
            <w:r w:rsidRPr="005C0645">
              <w:rPr>
                <w:color w:val="000000"/>
                <w:sz w:val="24"/>
                <w:szCs w:val="24"/>
                <w:lang w:eastAsia="ru-RU" w:bidi="ru-RU"/>
              </w:rPr>
              <w:t>Кладовая участка №2</w:t>
            </w:r>
          </w:p>
        </w:tc>
      </w:tr>
      <w:tr w:rsidR="00941EBB" w:rsidRPr="005C0645" w:rsidTr="00941EBB">
        <w:tc>
          <w:tcPr>
            <w:tcW w:w="2027" w:type="dxa"/>
            <w:vAlign w:val="center"/>
          </w:tcPr>
          <w:p w:rsidR="00941EBB" w:rsidRPr="005C0645" w:rsidRDefault="00941EBB" w:rsidP="005C0645">
            <w:pPr>
              <w:pStyle w:val="Bodytext20"/>
              <w:shd w:val="clear" w:color="auto" w:fill="auto"/>
              <w:spacing w:line="240" w:lineRule="auto"/>
              <w:ind w:right="23"/>
              <w:contextualSpacing/>
              <w:jc w:val="center"/>
              <w:rPr>
                <w:color w:val="000000"/>
                <w:sz w:val="24"/>
                <w:szCs w:val="24"/>
                <w:lang w:eastAsia="ru-RU" w:bidi="ru-RU"/>
              </w:rPr>
            </w:pPr>
            <w:r w:rsidRPr="005C0645">
              <w:rPr>
                <w:color w:val="000000"/>
                <w:sz w:val="24"/>
                <w:szCs w:val="24"/>
                <w:lang w:val="en-US" w:bidi="en-US"/>
              </w:rPr>
              <w:t>Q</w:t>
            </w:r>
            <w:r w:rsidRPr="005C0645">
              <w:rPr>
                <w:color w:val="000000"/>
                <w:sz w:val="24"/>
                <w:szCs w:val="24"/>
                <w:lang w:bidi="en-US"/>
              </w:rPr>
              <w:t>(МДж)</w:t>
            </w:r>
          </w:p>
        </w:tc>
        <w:tc>
          <w:tcPr>
            <w:tcW w:w="2027" w:type="dxa"/>
            <w:vAlign w:val="center"/>
          </w:tcPr>
          <w:p w:rsidR="00941EBB" w:rsidRPr="005C0645" w:rsidRDefault="00941EBB" w:rsidP="005C0645">
            <w:pPr>
              <w:pStyle w:val="Bodytext20"/>
              <w:shd w:val="clear" w:color="auto" w:fill="auto"/>
              <w:spacing w:line="240" w:lineRule="auto"/>
              <w:ind w:right="23"/>
              <w:contextualSpacing/>
              <w:jc w:val="center"/>
              <w:rPr>
                <w:color w:val="000000"/>
                <w:sz w:val="24"/>
                <w:szCs w:val="24"/>
                <w:lang w:eastAsia="ru-RU" w:bidi="ru-RU"/>
              </w:rPr>
            </w:pPr>
            <w:r w:rsidRPr="005C0645">
              <w:rPr>
                <w:color w:val="000000"/>
                <w:sz w:val="24"/>
                <w:szCs w:val="24"/>
                <w:lang w:eastAsia="ru-RU" w:bidi="ru-RU"/>
              </w:rPr>
              <w:t>33706,1</w:t>
            </w:r>
          </w:p>
        </w:tc>
        <w:tc>
          <w:tcPr>
            <w:tcW w:w="2027" w:type="dxa"/>
            <w:vAlign w:val="center"/>
          </w:tcPr>
          <w:p w:rsidR="00941EBB" w:rsidRPr="005C0645" w:rsidRDefault="00941EBB" w:rsidP="005C0645">
            <w:pPr>
              <w:pStyle w:val="Bodytext20"/>
              <w:shd w:val="clear" w:color="auto" w:fill="auto"/>
              <w:spacing w:line="240" w:lineRule="auto"/>
              <w:ind w:right="23"/>
              <w:contextualSpacing/>
              <w:jc w:val="center"/>
              <w:rPr>
                <w:color w:val="000000"/>
                <w:sz w:val="24"/>
                <w:szCs w:val="24"/>
                <w:lang w:eastAsia="ru-RU" w:bidi="ru-RU"/>
              </w:rPr>
            </w:pPr>
            <w:r w:rsidRPr="005C0645">
              <w:rPr>
                <w:color w:val="000000"/>
                <w:sz w:val="24"/>
                <w:szCs w:val="24"/>
                <w:lang w:eastAsia="ru-RU" w:bidi="ru-RU"/>
              </w:rPr>
              <w:t>4551</w:t>
            </w:r>
          </w:p>
        </w:tc>
        <w:tc>
          <w:tcPr>
            <w:tcW w:w="2028" w:type="dxa"/>
            <w:vAlign w:val="center"/>
          </w:tcPr>
          <w:p w:rsidR="00941EBB" w:rsidRPr="005C0645" w:rsidRDefault="00941EBB" w:rsidP="005C0645">
            <w:pPr>
              <w:pStyle w:val="Bodytext20"/>
              <w:shd w:val="clear" w:color="auto" w:fill="auto"/>
              <w:spacing w:line="240" w:lineRule="auto"/>
              <w:ind w:right="23"/>
              <w:contextualSpacing/>
              <w:jc w:val="center"/>
              <w:rPr>
                <w:color w:val="000000"/>
                <w:sz w:val="24"/>
                <w:szCs w:val="24"/>
                <w:lang w:eastAsia="ru-RU" w:bidi="ru-RU"/>
              </w:rPr>
            </w:pPr>
            <w:r w:rsidRPr="005C0645">
              <w:rPr>
                <w:color w:val="000000"/>
                <w:sz w:val="24"/>
                <w:szCs w:val="24"/>
                <w:lang w:eastAsia="ru-RU" w:bidi="ru-RU"/>
              </w:rPr>
              <w:t>17956,1</w:t>
            </w:r>
          </w:p>
        </w:tc>
        <w:tc>
          <w:tcPr>
            <w:tcW w:w="2028" w:type="dxa"/>
            <w:vAlign w:val="center"/>
          </w:tcPr>
          <w:p w:rsidR="00941EBB" w:rsidRPr="005C0645" w:rsidRDefault="00941EBB" w:rsidP="005C0645">
            <w:pPr>
              <w:pStyle w:val="Bodytext20"/>
              <w:shd w:val="clear" w:color="auto" w:fill="auto"/>
              <w:spacing w:line="240" w:lineRule="auto"/>
              <w:ind w:right="23"/>
              <w:contextualSpacing/>
              <w:jc w:val="center"/>
              <w:rPr>
                <w:color w:val="000000"/>
                <w:sz w:val="24"/>
                <w:szCs w:val="24"/>
                <w:lang w:eastAsia="ru-RU" w:bidi="ru-RU"/>
              </w:rPr>
            </w:pPr>
            <w:r w:rsidRPr="005C0645">
              <w:rPr>
                <w:color w:val="000000"/>
                <w:sz w:val="24"/>
                <w:szCs w:val="24"/>
                <w:lang w:eastAsia="ru-RU" w:bidi="ru-RU"/>
              </w:rPr>
              <w:t>1911</w:t>
            </w:r>
          </w:p>
        </w:tc>
      </w:tr>
      <w:tr w:rsidR="00941EBB" w:rsidRPr="005C0645" w:rsidTr="00941EBB">
        <w:tc>
          <w:tcPr>
            <w:tcW w:w="2027" w:type="dxa"/>
            <w:vAlign w:val="center"/>
          </w:tcPr>
          <w:p w:rsidR="00941EBB" w:rsidRPr="005C0645" w:rsidRDefault="00941EBB" w:rsidP="005C0645">
            <w:pPr>
              <w:pStyle w:val="Bodytext20"/>
              <w:shd w:val="clear" w:color="auto" w:fill="auto"/>
              <w:spacing w:line="240" w:lineRule="auto"/>
              <w:ind w:right="23"/>
              <w:contextualSpacing/>
              <w:jc w:val="center"/>
              <w:rPr>
                <w:b/>
                <w:color w:val="000000"/>
                <w:sz w:val="24"/>
                <w:szCs w:val="24"/>
                <w:lang w:eastAsia="ru-RU" w:bidi="ru-RU"/>
              </w:rPr>
            </w:pPr>
            <w:r w:rsidRPr="005C0645">
              <w:rPr>
                <w:rStyle w:val="Bodytext2Italic"/>
                <w:sz w:val="24"/>
                <w:szCs w:val="24"/>
              </w:rPr>
              <w:t>g(</w:t>
            </w:r>
            <w:r w:rsidR="003A6A0B" w:rsidRPr="005C0645">
              <w:rPr>
                <w:rStyle w:val="Bodytext2Italic"/>
                <w:sz w:val="24"/>
                <w:szCs w:val="24"/>
              </w:rPr>
              <w:t>МД</w:t>
            </w:r>
            <w:r w:rsidRPr="005C0645">
              <w:rPr>
                <w:rStyle w:val="Bodytext2Italic"/>
                <w:sz w:val="24"/>
                <w:szCs w:val="24"/>
              </w:rPr>
              <w:t>ж</w:t>
            </w:r>
            <m:oMath>
              <m:r>
                <w:rPr>
                  <w:rStyle w:val="Bodytext2Italic"/>
                  <w:rFonts w:ascii="Cambria Math"/>
                  <w:sz w:val="24"/>
                  <w:szCs w:val="24"/>
                </w:rPr>
                <m:t>∙</m:t>
              </m:r>
              <m:sSup>
                <m:sSupPr>
                  <m:ctrlPr>
                    <w:rPr>
                      <w:rStyle w:val="Bodytext2Italic"/>
                      <w:rFonts w:ascii="Cambria Math"/>
                      <w:i w:val="0"/>
                      <w:iCs w:val="0"/>
                      <w:sz w:val="24"/>
                      <w:szCs w:val="24"/>
                    </w:rPr>
                  </m:ctrlPr>
                </m:sSupPr>
                <m:e>
                  <m:r>
                    <w:rPr>
                      <w:rStyle w:val="Bodytext2Italic"/>
                      <w:rFonts w:ascii="Cambria Math"/>
                      <w:sz w:val="24"/>
                      <w:szCs w:val="24"/>
                    </w:rPr>
                    <m:t>м</m:t>
                  </m:r>
                </m:e>
                <m:sup>
                  <m:r>
                    <w:rPr>
                      <w:rStyle w:val="Bodytext2Italic"/>
                      <w:rFonts w:ascii="Cambria Math"/>
                      <w:sz w:val="24"/>
                      <w:szCs w:val="24"/>
                    </w:rPr>
                    <m:t>2</m:t>
                  </m:r>
                </m:sup>
              </m:sSup>
            </m:oMath>
            <w:r w:rsidRPr="005C0645">
              <w:rPr>
                <w:rStyle w:val="Bodytext2Italic"/>
                <w:sz w:val="24"/>
                <w:szCs w:val="24"/>
              </w:rPr>
              <w:t>)</w:t>
            </w:r>
          </w:p>
        </w:tc>
        <w:tc>
          <w:tcPr>
            <w:tcW w:w="2027" w:type="dxa"/>
            <w:vAlign w:val="center"/>
          </w:tcPr>
          <w:p w:rsidR="00941EBB" w:rsidRPr="005C0645" w:rsidRDefault="00941EBB" w:rsidP="005C0645">
            <w:pPr>
              <w:pStyle w:val="Bodytext20"/>
              <w:shd w:val="clear" w:color="auto" w:fill="auto"/>
              <w:spacing w:line="240" w:lineRule="auto"/>
              <w:ind w:right="23"/>
              <w:contextualSpacing/>
              <w:jc w:val="center"/>
              <w:rPr>
                <w:color w:val="000000"/>
                <w:sz w:val="24"/>
                <w:szCs w:val="24"/>
                <w:lang w:eastAsia="ru-RU" w:bidi="ru-RU"/>
              </w:rPr>
            </w:pPr>
            <w:r w:rsidRPr="005C0645">
              <w:rPr>
                <w:color w:val="000000"/>
                <w:sz w:val="24"/>
                <w:szCs w:val="24"/>
                <w:lang w:eastAsia="ru-RU" w:bidi="ru-RU"/>
              </w:rPr>
              <w:t>22,07</w:t>
            </w:r>
          </w:p>
        </w:tc>
        <w:tc>
          <w:tcPr>
            <w:tcW w:w="2027" w:type="dxa"/>
            <w:vAlign w:val="center"/>
          </w:tcPr>
          <w:p w:rsidR="00941EBB" w:rsidRPr="005C0645" w:rsidRDefault="00941EBB" w:rsidP="005C0645">
            <w:pPr>
              <w:pStyle w:val="Bodytext20"/>
              <w:shd w:val="clear" w:color="auto" w:fill="auto"/>
              <w:spacing w:line="240" w:lineRule="auto"/>
              <w:ind w:right="23"/>
              <w:contextualSpacing/>
              <w:jc w:val="center"/>
              <w:rPr>
                <w:color w:val="000000"/>
                <w:sz w:val="24"/>
                <w:szCs w:val="24"/>
                <w:lang w:eastAsia="ru-RU" w:bidi="ru-RU"/>
              </w:rPr>
            </w:pPr>
            <w:r w:rsidRPr="005C0645">
              <w:rPr>
                <w:color w:val="000000"/>
                <w:sz w:val="24"/>
                <w:szCs w:val="24"/>
                <w:lang w:eastAsia="ru-RU" w:bidi="ru-RU"/>
              </w:rPr>
              <w:t>758,5</w:t>
            </w:r>
          </w:p>
        </w:tc>
        <w:tc>
          <w:tcPr>
            <w:tcW w:w="2028" w:type="dxa"/>
            <w:vAlign w:val="center"/>
          </w:tcPr>
          <w:p w:rsidR="00941EBB" w:rsidRPr="005C0645" w:rsidRDefault="00941EBB" w:rsidP="005C0645">
            <w:pPr>
              <w:pStyle w:val="Bodytext20"/>
              <w:shd w:val="clear" w:color="auto" w:fill="auto"/>
              <w:spacing w:line="240" w:lineRule="auto"/>
              <w:ind w:right="23"/>
              <w:contextualSpacing/>
              <w:jc w:val="center"/>
              <w:rPr>
                <w:color w:val="000000"/>
                <w:sz w:val="24"/>
                <w:szCs w:val="24"/>
                <w:lang w:eastAsia="ru-RU" w:bidi="ru-RU"/>
              </w:rPr>
            </w:pPr>
            <w:r w:rsidRPr="005C0645">
              <w:rPr>
                <w:color w:val="000000"/>
                <w:sz w:val="24"/>
                <w:szCs w:val="24"/>
                <w:lang w:eastAsia="ru-RU" w:bidi="ru-RU"/>
              </w:rPr>
              <w:t>11,76</w:t>
            </w:r>
          </w:p>
        </w:tc>
        <w:tc>
          <w:tcPr>
            <w:tcW w:w="2028" w:type="dxa"/>
            <w:vAlign w:val="center"/>
          </w:tcPr>
          <w:p w:rsidR="00941EBB" w:rsidRPr="005C0645" w:rsidRDefault="00941EBB" w:rsidP="005C0645">
            <w:pPr>
              <w:pStyle w:val="Bodytext20"/>
              <w:shd w:val="clear" w:color="auto" w:fill="auto"/>
              <w:spacing w:line="240" w:lineRule="auto"/>
              <w:ind w:right="23"/>
              <w:contextualSpacing/>
              <w:jc w:val="center"/>
              <w:rPr>
                <w:color w:val="000000"/>
                <w:sz w:val="24"/>
                <w:szCs w:val="24"/>
                <w:lang w:eastAsia="ru-RU" w:bidi="ru-RU"/>
              </w:rPr>
            </w:pPr>
            <w:r w:rsidRPr="005C0645">
              <w:rPr>
                <w:color w:val="000000"/>
                <w:sz w:val="24"/>
                <w:szCs w:val="24"/>
                <w:lang w:eastAsia="ru-RU" w:bidi="ru-RU"/>
              </w:rPr>
              <w:t>318,5</w:t>
            </w:r>
          </w:p>
        </w:tc>
      </w:tr>
    </w:tbl>
    <w:p w:rsidR="007D666F" w:rsidRPr="005C0645" w:rsidRDefault="007D666F" w:rsidP="005C0645">
      <w:pPr>
        <w:spacing w:after="0" w:line="240" w:lineRule="auto"/>
        <w:ind w:firstLine="709"/>
        <w:jc w:val="both"/>
        <w:rPr>
          <w:rFonts w:ascii="Times New Roman" w:hAnsi="Times New Roman" w:cs="Times New Roman"/>
          <w:sz w:val="24"/>
          <w:szCs w:val="24"/>
          <w:lang w:val="en-US"/>
        </w:rPr>
      </w:pPr>
    </w:p>
    <w:p w:rsidR="007D666F" w:rsidRPr="005C0645" w:rsidRDefault="007D666F" w:rsidP="005C0645">
      <w:pPr>
        <w:spacing w:after="0" w:line="240" w:lineRule="auto"/>
        <w:ind w:firstLine="709"/>
        <w:jc w:val="both"/>
        <w:rPr>
          <w:rFonts w:ascii="Times New Roman" w:hAnsi="Times New Roman" w:cs="Times New Roman"/>
          <w:sz w:val="24"/>
          <w:szCs w:val="24"/>
        </w:rPr>
      </w:pPr>
      <w:r w:rsidRPr="005C0645">
        <w:rPr>
          <w:rFonts w:ascii="Times New Roman" w:hAnsi="Times New Roman" w:cs="Times New Roman"/>
          <w:sz w:val="24"/>
          <w:szCs w:val="24"/>
        </w:rPr>
        <w:t xml:space="preserve">На следующем этапе исследований определена категория помещения цеха по </w:t>
      </w:r>
      <w:proofErr w:type="spellStart"/>
      <w:r w:rsidRPr="005C0645">
        <w:rPr>
          <w:rFonts w:ascii="Times New Roman" w:hAnsi="Times New Roman" w:cs="Times New Roman"/>
          <w:sz w:val="24"/>
          <w:szCs w:val="24"/>
        </w:rPr>
        <w:t>пожаровзрывоопасности</w:t>
      </w:r>
      <w:proofErr w:type="spellEnd"/>
      <w:r w:rsidRPr="005C0645">
        <w:rPr>
          <w:rFonts w:ascii="Times New Roman" w:hAnsi="Times New Roman" w:cs="Times New Roman"/>
          <w:sz w:val="24"/>
          <w:szCs w:val="24"/>
        </w:rPr>
        <w:t xml:space="preserve">. </w:t>
      </w:r>
      <w:r w:rsidR="00194B01" w:rsidRPr="005C0645">
        <w:rPr>
          <w:rFonts w:ascii="Times New Roman" w:hAnsi="Times New Roman" w:cs="Times New Roman"/>
          <w:sz w:val="24"/>
          <w:szCs w:val="24"/>
        </w:rPr>
        <w:t>Для этого, с</w:t>
      </w:r>
      <w:r w:rsidR="00332BF0">
        <w:rPr>
          <w:rFonts w:ascii="Times New Roman" w:hAnsi="Times New Roman" w:cs="Times New Roman"/>
          <w:sz w:val="24"/>
          <w:szCs w:val="24"/>
        </w:rPr>
        <w:t>ледуя требованиям НПБ 105-03</w:t>
      </w:r>
      <w:r w:rsidRPr="005C0645">
        <w:rPr>
          <w:rFonts w:ascii="Times New Roman" w:hAnsi="Times New Roman" w:cs="Times New Roman"/>
          <w:sz w:val="24"/>
          <w:szCs w:val="24"/>
        </w:rPr>
        <w:t xml:space="preserve">, </w:t>
      </w:r>
      <w:r w:rsidR="00194B01" w:rsidRPr="005C0645">
        <w:rPr>
          <w:rFonts w:ascii="Times New Roman" w:hAnsi="Times New Roman" w:cs="Times New Roman"/>
          <w:sz w:val="24"/>
          <w:szCs w:val="24"/>
        </w:rPr>
        <w:t xml:space="preserve">проведем </w:t>
      </w:r>
      <w:r w:rsidRPr="005C0645">
        <w:rPr>
          <w:rFonts w:ascii="Times New Roman" w:hAnsi="Times New Roman" w:cs="Times New Roman"/>
          <w:sz w:val="24"/>
          <w:szCs w:val="24"/>
        </w:rPr>
        <w:t>последовательн</w:t>
      </w:r>
      <w:r w:rsidR="00194B01" w:rsidRPr="005C0645">
        <w:rPr>
          <w:rFonts w:ascii="Times New Roman" w:hAnsi="Times New Roman" w:cs="Times New Roman"/>
          <w:sz w:val="24"/>
          <w:szCs w:val="24"/>
        </w:rPr>
        <w:t xml:space="preserve">ую </w:t>
      </w:r>
      <w:r w:rsidRPr="005C0645">
        <w:rPr>
          <w:rFonts w:ascii="Times New Roman" w:hAnsi="Times New Roman" w:cs="Times New Roman"/>
          <w:sz w:val="24"/>
          <w:szCs w:val="24"/>
        </w:rPr>
        <w:t>проверк</w:t>
      </w:r>
      <w:r w:rsidR="00194B01" w:rsidRPr="005C0645">
        <w:rPr>
          <w:rFonts w:ascii="Times New Roman" w:hAnsi="Times New Roman" w:cs="Times New Roman"/>
          <w:sz w:val="24"/>
          <w:szCs w:val="24"/>
        </w:rPr>
        <w:t xml:space="preserve">у </w:t>
      </w:r>
      <w:r w:rsidRPr="005C0645">
        <w:rPr>
          <w:rFonts w:ascii="Times New Roman" w:hAnsi="Times New Roman" w:cs="Times New Roman"/>
          <w:sz w:val="24"/>
          <w:szCs w:val="24"/>
        </w:rPr>
        <w:t xml:space="preserve">принадлежности помещения к категориям </w:t>
      </w:r>
      <w:proofErr w:type="gramStart"/>
      <w:r w:rsidRPr="005C0645">
        <w:rPr>
          <w:rFonts w:ascii="Times New Roman" w:hAnsi="Times New Roman" w:cs="Times New Roman"/>
          <w:sz w:val="24"/>
          <w:szCs w:val="24"/>
        </w:rPr>
        <w:t>от</w:t>
      </w:r>
      <w:proofErr w:type="gramEnd"/>
      <w:r w:rsidRPr="005C0645">
        <w:rPr>
          <w:rFonts w:ascii="Times New Roman" w:hAnsi="Times New Roman" w:cs="Times New Roman"/>
          <w:sz w:val="24"/>
          <w:szCs w:val="24"/>
        </w:rPr>
        <w:t xml:space="preserve"> высшей (А) к низшей (Д) в порядке, иллюстрируемом схемой</w:t>
      </w:r>
      <w:r w:rsidR="00194B01" w:rsidRPr="005C0645">
        <w:rPr>
          <w:rFonts w:ascii="Times New Roman" w:hAnsi="Times New Roman" w:cs="Times New Roman"/>
          <w:sz w:val="24"/>
          <w:szCs w:val="24"/>
        </w:rPr>
        <w:t xml:space="preserve">, представленной на </w:t>
      </w:r>
      <w:r w:rsidRPr="005C0645">
        <w:rPr>
          <w:rFonts w:ascii="Times New Roman" w:hAnsi="Times New Roman" w:cs="Times New Roman"/>
          <w:sz w:val="24"/>
          <w:szCs w:val="24"/>
        </w:rPr>
        <w:t>рисун</w:t>
      </w:r>
      <w:r w:rsidR="00194B01" w:rsidRPr="005C0645">
        <w:rPr>
          <w:rFonts w:ascii="Times New Roman" w:hAnsi="Times New Roman" w:cs="Times New Roman"/>
          <w:sz w:val="24"/>
          <w:szCs w:val="24"/>
        </w:rPr>
        <w:t xml:space="preserve">ке </w:t>
      </w:r>
      <w:r w:rsidRPr="005C0645">
        <w:rPr>
          <w:rFonts w:ascii="Times New Roman" w:hAnsi="Times New Roman" w:cs="Times New Roman"/>
          <w:sz w:val="24"/>
          <w:szCs w:val="24"/>
        </w:rPr>
        <w:t>1</w:t>
      </w:r>
      <w:r w:rsidR="00194B01" w:rsidRPr="005C0645">
        <w:rPr>
          <w:rFonts w:ascii="Times New Roman" w:hAnsi="Times New Roman" w:cs="Times New Roman"/>
          <w:sz w:val="24"/>
          <w:szCs w:val="24"/>
        </w:rPr>
        <w:t xml:space="preserve"> [2]</w:t>
      </w:r>
      <w:r w:rsidRPr="005C0645">
        <w:rPr>
          <w:rFonts w:ascii="Times New Roman" w:hAnsi="Times New Roman" w:cs="Times New Roman"/>
          <w:sz w:val="24"/>
          <w:szCs w:val="24"/>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5144"/>
      </w:tblGrid>
      <w:tr w:rsidR="007D666F" w:rsidRPr="005C0645" w:rsidTr="005C0645">
        <w:tc>
          <w:tcPr>
            <w:tcW w:w="4427" w:type="dxa"/>
          </w:tcPr>
          <w:p w:rsidR="007D666F" w:rsidRPr="005C0645" w:rsidRDefault="007D666F" w:rsidP="005C0645">
            <w:pPr>
              <w:jc w:val="both"/>
              <w:rPr>
                <w:rFonts w:ascii="Times New Roman" w:hAnsi="Times New Roman" w:cs="Times New Roman"/>
                <w:sz w:val="24"/>
                <w:szCs w:val="24"/>
              </w:rPr>
            </w:pPr>
            <w:r w:rsidRPr="005C0645">
              <w:rPr>
                <w:rFonts w:ascii="Times New Roman" w:hAnsi="Times New Roman" w:cs="Times New Roman"/>
                <w:noProof/>
                <w:sz w:val="24"/>
                <w:szCs w:val="24"/>
                <w:lang w:eastAsia="ru-RU"/>
              </w:rPr>
              <w:drawing>
                <wp:inline distT="0" distB="0" distL="0" distR="0">
                  <wp:extent cx="2654877" cy="3030428"/>
                  <wp:effectExtent l="19050" t="0" r="0" b="0"/>
                  <wp:docPr id="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l="36737" t="37455" r="47179" b="29892"/>
                          <a:stretch>
                            <a:fillRect/>
                          </a:stretch>
                        </pic:blipFill>
                        <pic:spPr bwMode="auto">
                          <a:xfrm>
                            <a:off x="0" y="0"/>
                            <a:ext cx="2658630" cy="3034712"/>
                          </a:xfrm>
                          <a:prstGeom prst="rect">
                            <a:avLst/>
                          </a:prstGeom>
                          <a:noFill/>
                          <a:ln w="9525">
                            <a:noFill/>
                            <a:miter lim="800000"/>
                            <a:headEnd/>
                            <a:tailEnd/>
                          </a:ln>
                        </pic:spPr>
                      </pic:pic>
                    </a:graphicData>
                  </a:graphic>
                </wp:inline>
              </w:drawing>
            </w:r>
          </w:p>
          <w:p w:rsidR="007D666F" w:rsidRPr="005C0645" w:rsidRDefault="007D666F" w:rsidP="005C0645">
            <w:pPr>
              <w:jc w:val="center"/>
              <w:rPr>
                <w:rFonts w:ascii="Times New Roman" w:hAnsi="Times New Roman" w:cs="Times New Roman"/>
                <w:sz w:val="24"/>
                <w:szCs w:val="24"/>
              </w:rPr>
            </w:pPr>
            <w:r w:rsidRPr="005C0645">
              <w:rPr>
                <w:rFonts w:ascii="Times New Roman" w:hAnsi="Times New Roman" w:cs="Times New Roman"/>
                <w:sz w:val="24"/>
                <w:szCs w:val="24"/>
              </w:rPr>
              <w:t>Рисунок 1 – Схема определений категорий производственных помещений</w:t>
            </w:r>
          </w:p>
        </w:tc>
        <w:tc>
          <w:tcPr>
            <w:tcW w:w="5144" w:type="dxa"/>
          </w:tcPr>
          <w:p w:rsidR="005C0645" w:rsidRPr="005B1481" w:rsidRDefault="005C0645" w:rsidP="005C0645">
            <w:pPr>
              <w:ind w:firstLine="851"/>
              <w:jc w:val="both"/>
              <w:rPr>
                <w:rFonts w:ascii="Times New Roman" w:hAnsi="Times New Roman" w:cs="Times New Roman"/>
                <w:sz w:val="24"/>
                <w:szCs w:val="24"/>
              </w:rPr>
            </w:pPr>
            <w:r w:rsidRPr="005C0645">
              <w:rPr>
                <w:rFonts w:ascii="Times New Roman" w:hAnsi="Times New Roman" w:cs="Times New Roman"/>
                <w:sz w:val="24"/>
                <w:szCs w:val="24"/>
              </w:rPr>
              <w:t xml:space="preserve">Исходя из этого, помещения участков №1, №2 по </w:t>
            </w:r>
            <w:proofErr w:type="spellStart"/>
            <w:r w:rsidRPr="005C0645">
              <w:rPr>
                <w:rFonts w:ascii="Times New Roman" w:hAnsi="Times New Roman" w:cs="Times New Roman"/>
                <w:sz w:val="24"/>
                <w:szCs w:val="24"/>
              </w:rPr>
              <w:t>пожаровзрывоопасности</w:t>
            </w:r>
            <w:proofErr w:type="spellEnd"/>
            <w:r w:rsidRPr="005C0645">
              <w:rPr>
                <w:rFonts w:ascii="Times New Roman" w:hAnsi="Times New Roman" w:cs="Times New Roman"/>
                <w:sz w:val="24"/>
                <w:szCs w:val="24"/>
              </w:rPr>
              <w:t xml:space="preserve"> может совпадать с В</w:t>
            </w:r>
            <w:proofErr w:type="gramStart"/>
            <w:r w:rsidRPr="005C0645">
              <w:rPr>
                <w:rFonts w:ascii="Times New Roman" w:hAnsi="Times New Roman" w:cs="Times New Roman"/>
                <w:sz w:val="24"/>
                <w:szCs w:val="24"/>
              </w:rPr>
              <w:t>4</w:t>
            </w:r>
            <w:proofErr w:type="gramEnd"/>
            <w:r w:rsidRPr="005C0645">
              <w:rPr>
                <w:rFonts w:ascii="Times New Roman" w:hAnsi="Times New Roman" w:cs="Times New Roman"/>
                <w:sz w:val="24"/>
                <w:szCs w:val="24"/>
              </w:rPr>
              <w:t>. Однако площадь замещения пожарной нагрузки превышает 10м</w:t>
            </w:r>
            <w:r w:rsidRPr="005C0645">
              <w:rPr>
                <w:rFonts w:ascii="Times New Roman" w:hAnsi="Times New Roman" w:cs="Times New Roman"/>
                <w:sz w:val="24"/>
                <w:szCs w:val="24"/>
                <w:vertAlign w:val="superscript"/>
              </w:rPr>
              <w:t>2</w:t>
            </w:r>
            <w:r w:rsidRPr="005C0645">
              <w:rPr>
                <w:rFonts w:ascii="Times New Roman" w:hAnsi="Times New Roman" w:cs="Times New Roman"/>
                <w:sz w:val="24"/>
                <w:szCs w:val="24"/>
              </w:rPr>
              <w:t>. Поэтому  необходимо повысить категорию до В3 при условии, что способ расположения пожарной нагрузки удовлетворяет необходимым требованиям.</w:t>
            </w:r>
          </w:p>
          <w:p w:rsidR="007D666F" w:rsidRPr="005C0645" w:rsidRDefault="005C0645" w:rsidP="005C0645">
            <w:pPr>
              <w:jc w:val="both"/>
              <w:rPr>
                <w:rFonts w:ascii="Times New Roman" w:hAnsi="Times New Roman" w:cs="Times New Roman"/>
                <w:sz w:val="24"/>
                <w:szCs w:val="24"/>
              </w:rPr>
            </w:pPr>
            <w:r w:rsidRPr="005C0645">
              <w:rPr>
                <w:rFonts w:ascii="Times New Roman" w:hAnsi="Times New Roman" w:cs="Times New Roman"/>
                <w:sz w:val="24"/>
                <w:szCs w:val="24"/>
              </w:rPr>
              <w:t xml:space="preserve">При проведении оценки параметров расположения пожарной нагрузки необходимо учесть наличие источников теплового </w:t>
            </w:r>
            <w:proofErr w:type="gramStart"/>
            <w:r w:rsidRPr="005C0645">
              <w:rPr>
                <w:rFonts w:ascii="Times New Roman" w:hAnsi="Times New Roman" w:cs="Times New Roman"/>
                <w:sz w:val="24"/>
                <w:szCs w:val="24"/>
              </w:rPr>
              <w:t>излучения</w:t>
            </w:r>
            <w:proofErr w:type="gramEnd"/>
            <w:r w:rsidRPr="005C0645">
              <w:rPr>
                <w:rFonts w:ascii="Times New Roman" w:hAnsi="Times New Roman" w:cs="Times New Roman"/>
                <w:sz w:val="24"/>
                <w:szCs w:val="24"/>
              </w:rPr>
              <w:t xml:space="preserve"> таких как горячие трубопроводы, технологическое оборудование, провода и кабели электросетей, электрические машины и аппараты на обоих участках, </w:t>
            </w:r>
            <w:proofErr w:type="spellStart"/>
            <w:r w:rsidRPr="005C0645">
              <w:rPr>
                <w:rFonts w:ascii="Times New Roman" w:hAnsi="Times New Roman" w:cs="Times New Roman"/>
                <w:sz w:val="24"/>
                <w:szCs w:val="24"/>
              </w:rPr>
              <w:t>которые</w:t>
            </w:r>
            <w:r w:rsidR="007D666F" w:rsidRPr="005C0645">
              <w:rPr>
                <w:rFonts w:ascii="Times New Roman" w:hAnsi="Times New Roman" w:cs="Times New Roman"/>
                <w:sz w:val="24"/>
                <w:szCs w:val="24"/>
              </w:rPr>
              <w:t>способны</w:t>
            </w:r>
            <w:proofErr w:type="spellEnd"/>
            <w:r w:rsidR="007D666F" w:rsidRPr="005C0645">
              <w:rPr>
                <w:rFonts w:ascii="Times New Roman" w:hAnsi="Times New Roman" w:cs="Times New Roman"/>
                <w:sz w:val="24"/>
                <w:szCs w:val="24"/>
              </w:rPr>
              <w:t xml:space="preserve"> воспламенить хлопчатобумажную пыль в воздухе</w:t>
            </w:r>
            <w:r w:rsidRPr="005C0645">
              <w:rPr>
                <w:rFonts w:ascii="Times New Roman" w:hAnsi="Times New Roman" w:cs="Times New Roman"/>
                <w:sz w:val="24"/>
                <w:szCs w:val="24"/>
              </w:rPr>
              <w:t xml:space="preserve"> [4]</w:t>
            </w:r>
            <w:r w:rsidR="007D666F" w:rsidRPr="005C0645">
              <w:rPr>
                <w:rFonts w:ascii="Times New Roman" w:hAnsi="Times New Roman" w:cs="Times New Roman"/>
                <w:sz w:val="24"/>
                <w:szCs w:val="24"/>
              </w:rPr>
              <w:t xml:space="preserve">. Плотность лучистых потоков  </w:t>
            </w:r>
            <w:r w:rsidR="007D666F" w:rsidRPr="005C0645">
              <w:rPr>
                <w:rFonts w:ascii="Cambria Math" w:hAnsi="Cambria Math" w:cs="Times New Roman"/>
                <w:sz w:val="24"/>
                <w:szCs w:val="24"/>
              </w:rPr>
              <w:t>𝑞</w:t>
            </w:r>
            <w:proofErr w:type="spellStart"/>
            <w:proofErr w:type="gramStart"/>
            <w:r w:rsidR="007D666F" w:rsidRPr="005C0645">
              <w:rPr>
                <w:rFonts w:ascii="Times New Roman" w:hAnsi="Times New Roman" w:cs="Times New Roman"/>
                <w:sz w:val="24"/>
                <w:szCs w:val="24"/>
                <w:vertAlign w:val="subscript"/>
              </w:rPr>
              <w:t>кр</w:t>
            </w:r>
            <w:proofErr w:type="spellEnd"/>
            <w:proofErr w:type="gramEnd"/>
            <w:r w:rsidR="007D666F" w:rsidRPr="005C0645">
              <w:rPr>
                <w:rFonts w:ascii="Times New Roman" w:hAnsi="Times New Roman" w:cs="Times New Roman"/>
                <w:sz w:val="24"/>
                <w:szCs w:val="24"/>
              </w:rPr>
              <w:t xml:space="preserve">, способствующих воспламенению </w:t>
            </w:r>
            <w:proofErr w:type="spellStart"/>
            <w:r w:rsidR="007D666F" w:rsidRPr="005C0645">
              <w:rPr>
                <w:rFonts w:ascii="Times New Roman" w:hAnsi="Times New Roman" w:cs="Times New Roman"/>
                <w:sz w:val="24"/>
                <w:szCs w:val="24"/>
              </w:rPr>
              <w:t>хлопчато</w:t>
            </w:r>
            <w:proofErr w:type="spellEnd"/>
            <w:r w:rsidR="007D666F" w:rsidRPr="005C0645">
              <w:rPr>
                <w:rFonts w:ascii="Times New Roman" w:hAnsi="Times New Roman" w:cs="Times New Roman"/>
                <w:sz w:val="24"/>
                <w:szCs w:val="24"/>
              </w:rPr>
              <w:t>-бумажной пыли составляют 7,5 кВт/м</w:t>
            </w:r>
            <w:r w:rsidR="007D666F" w:rsidRPr="005C0645">
              <w:rPr>
                <w:rFonts w:ascii="Times New Roman" w:hAnsi="Times New Roman" w:cs="Times New Roman"/>
                <w:sz w:val="24"/>
                <w:szCs w:val="24"/>
                <w:vertAlign w:val="superscript"/>
              </w:rPr>
              <w:t>2</w:t>
            </w:r>
            <w:r w:rsidR="007D666F" w:rsidRPr="005C0645">
              <w:rPr>
                <w:rFonts w:ascii="Times New Roman" w:hAnsi="Times New Roman" w:cs="Times New Roman"/>
                <w:sz w:val="24"/>
                <w:szCs w:val="24"/>
              </w:rPr>
              <w:t xml:space="preserve">. Исходя из этого значения минимально </w:t>
            </w:r>
            <w:proofErr w:type="gramStart"/>
            <w:r w:rsidR="007D666F" w:rsidRPr="005C0645">
              <w:rPr>
                <w:rFonts w:ascii="Times New Roman" w:hAnsi="Times New Roman" w:cs="Times New Roman"/>
                <w:sz w:val="24"/>
                <w:szCs w:val="24"/>
              </w:rPr>
              <w:t>допустимое</w:t>
            </w:r>
            <w:proofErr w:type="gramEnd"/>
            <w:r w:rsidR="007D666F" w:rsidRPr="005C0645">
              <w:rPr>
                <w:rFonts w:ascii="Times New Roman" w:hAnsi="Times New Roman" w:cs="Times New Roman"/>
                <w:sz w:val="24"/>
                <w:szCs w:val="24"/>
              </w:rPr>
              <w:t xml:space="preserve"> </w:t>
            </w:r>
          </w:p>
        </w:tc>
      </w:tr>
    </w:tbl>
    <w:p w:rsidR="00194B01" w:rsidRPr="005C0645" w:rsidRDefault="005C0645" w:rsidP="005C0645">
      <w:pPr>
        <w:spacing w:after="0" w:line="240" w:lineRule="auto"/>
        <w:jc w:val="both"/>
        <w:rPr>
          <w:rFonts w:ascii="Times New Roman" w:eastAsiaTheme="minorEastAsia" w:hAnsi="Times New Roman" w:cs="Times New Roman"/>
          <w:sz w:val="24"/>
          <w:szCs w:val="24"/>
        </w:rPr>
      </w:pPr>
      <w:r w:rsidRPr="005C0645">
        <w:rPr>
          <w:rFonts w:ascii="Times New Roman" w:hAnsi="Times New Roman" w:cs="Times New Roman"/>
          <w:sz w:val="24"/>
          <w:szCs w:val="24"/>
        </w:rPr>
        <w:t xml:space="preserve">расстояние между участками </w:t>
      </w:r>
      <w:r w:rsidRPr="005C0645">
        <w:rPr>
          <w:rFonts w:ascii="Cambria Math" w:hAnsi="Cambria Math" w:cs="Times New Roman"/>
          <w:sz w:val="24"/>
          <w:szCs w:val="24"/>
        </w:rPr>
        <w:t>𝑙</w:t>
      </w:r>
      <w:proofErr w:type="spellStart"/>
      <w:proofErr w:type="gramStart"/>
      <w:r w:rsidRPr="005C0645">
        <w:rPr>
          <w:rFonts w:ascii="Times New Roman" w:hAnsi="Times New Roman" w:cs="Times New Roman"/>
          <w:sz w:val="24"/>
          <w:szCs w:val="24"/>
          <w:vertAlign w:val="subscript"/>
        </w:rPr>
        <w:t>пр</w:t>
      </w:r>
      <w:proofErr w:type="spellEnd"/>
      <w:proofErr w:type="gramEnd"/>
      <w:r w:rsidRPr="005C0645">
        <w:rPr>
          <w:rFonts w:ascii="Times New Roman" w:hAnsi="Times New Roman" w:cs="Times New Roman"/>
          <w:sz w:val="24"/>
          <w:szCs w:val="24"/>
        </w:rPr>
        <w:t xml:space="preserve">= 11 м. Учитывая минимальное расстояние от поверхности пожарной нагрузки до нижнего пояса ферм перекрытия Н=5 м, рекомендуемое расстояние </w:t>
      </w:r>
      <w:r w:rsidRPr="005C0645">
        <w:rPr>
          <w:rFonts w:ascii="Times New Roman" w:hAnsi="Times New Roman" w:cs="Times New Roman"/>
          <w:i/>
          <w:sz w:val="24"/>
          <w:szCs w:val="24"/>
          <w:lang w:val="en-US"/>
        </w:rPr>
        <w:t>l</w:t>
      </w:r>
      <w:r w:rsidRPr="005C0645">
        <w:rPr>
          <w:rFonts w:ascii="Times New Roman" w:hAnsi="Times New Roman" w:cs="Times New Roman"/>
          <w:sz w:val="24"/>
          <w:szCs w:val="24"/>
        </w:rPr>
        <w:t xml:space="preserve"> между участками: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10"/>
      </w:tblGrid>
      <w:tr w:rsidR="00194B01" w:rsidRPr="005C0645" w:rsidTr="006E48C5">
        <w:tc>
          <w:tcPr>
            <w:tcW w:w="8755" w:type="dxa"/>
          </w:tcPr>
          <w:p w:rsidR="00194B01" w:rsidRPr="005C0645" w:rsidRDefault="00194B01" w:rsidP="005C0645">
            <w:pPr>
              <w:jc w:val="both"/>
              <w:rPr>
                <w:rFonts w:ascii="Times New Roman" w:hAnsi="Times New Roman" w:cs="Times New Roman"/>
                <w:sz w:val="24"/>
                <w:szCs w:val="24"/>
                <w:lang w:val="en-US"/>
              </w:rPr>
            </w:pPr>
            <m:oMathPara>
              <m:oMath>
                <m:r>
                  <w:rPr>
                    <w:rFonts w:ascii="Cambria Math" w:hAnsi="Cambria Math" w:cs="Times New Roman"/>
                    <w:sz w:val="24"/>
                    <w:szCs w:val="24"/>
                  </w:rPr>
                  <m:t>l</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Times New Roman" w:cs="Times New Roman"/>
                        <w:sz w:val="24"/>
                        <w:szCs w:val="24"/>
                      </w:rPr>
                      <m:t>пр</m:t>
                    </m:r>
                  </m:sub>
                </m:sSub>
                <m:r>
                  <w:rPr>
                    <w:rFonts w:ascii="Cambria Math" w:hAnsi="Times New Roman" w:cs="Times New Roman"/>
                    <w:sz w:val="24"/>
                    <w:szCs w:val="24"/>
                  </w:rPr>
                  <m:t>+(11</m:t>
                </m:r>
                <m:r>
                  <w:rPr>
                    <w:rFonts w:ascii="Cambria Math" w:hAnsi="Times New Roman" w:cs="Times New Roman"/>
                    <w:sz w:val="24"/>
                    <w:szCs w:val="24"/>
                  </w:rPr>
                  <m:t>-</m:t>
                </m:r>
                <m:r>
                  <w:rPr>
                    <w:rFonts w:ascii="Cambria Math" w:hAnsi="Cambria Math" w:cs="Times New Roman"/>
                    <w:sz w:val="24"/>
                    <w:szCs w:val="24"/>
                    <w:lang w:val="en-US"/>
                  </w:rPr>
                  <m:t>H</m:t>
                </m:r>
                <m:r>
                  <w:rPr>
                    <w:rFonts w:ascii="Cambria Math" w:hAnsi="Times New Roman" w:cs="Times New Roman"/>
                    <w:sz w:val="24"/>
                    <w:szCs w:val="24"/>
                  </w:rPr>
                  <m:t>)</m:t>
                </m:r>
              </m:oMath>
            </m:oMathPara>
          </w:p>
        </w:tc>
        <w:tc>
          <w:tcPr>
            <w:tcW w:w="710" w:type="dxa"/>
            <w:vAlign w:val="center"/>
          </w:tcPr>
          <w:p w:rsidR="00194B01" w:rsidRPr="005C0645" w:rsidRDefault="00194B01" w:rsidP="005C0645">
            <w:pPr>
              <w:jc w:val="center"/>
              <w:rPr>
                <w:rFonts w:ascii="Times New Roman" w:hAnsi="Times New Roman" w:cs="Times New Roman"/>
                <w:sz w:val="24"/>
                <w:szCs w:val="24"/>
                <w:lang w:val="en-US"/>
              </w:rPr>
            </w:pPr>
            <w:r w:rsidRPr="005C0645">
              <w:rPr>
                <w:rFonts w:ascii="Times New Roman" w:hAnsi="Times New Roman" w:cs="Times New Roman"/>
                <w:sz w:val="24"/>
                <w:szCs w:val="24"/>
                <w:lang w:val="en-US"/>
              </w:rPr>
              <w:t>(1)</w:t>
            </w:r>
          </w:p>
        </w:tc>
      </w:tr>
    </w:tbl>
    <w:p w:rsidR="004D0263" w:rsidRPr="005C0645" w:rsidRDefault="00E2233F" w:rsidP="005C0645">
      <w:pPr>
        <w:spacing w:after="0" w:line="240" w:lineRule="auto"/>
        <w:ind w:firstLine="709"/>
        <w:jc w:val="both"/>
        <w:rPr>
          <w:rFonts w:ascii="Times New Roman" w:hAnsi="Times New Roman" w:cs="Times New Roman"/>
          <w:sz w:val="24"/>
          <w:szCs w:val="24"/>
        </w:rPr>
      </w:pPr>
      <w:r w:rsidRPr="005C0645">
        <w:rPr>
          <w:rFonts w:ascii="Times New Roman" w:hAnsi="Times New Roman" w:cs="Times New Roman"/>
          <w:sz w:val="24"/>
          <w:szCs w:val="24"/>
        </w:rPr>
        <w:t xml:space="preserve">Расчет необходимо провести как со стороны участка </w:t>
      </w:r>
      <w:r w:rsidR="004D0263" w:rsidRPr="005C0645">
        <w:rPr>
          <w:rFonts w:ascii="Times New Roman" w:hAnsi="Times New Roman" w:cs="Times New Roman"/>
          <w:sz w:val="24"/>
          <w:szCs w:val="24"/>
        </w:rPr>
        <w:t>№1, так и со стороны участка №2.</w:t>
      </w:r>
    </w:p>
    <w:p w:rsidR="00BB38E6" w:rsidRPr="005C0645" w:rsidRDefault="00E2233F" w:rsidP="005C0645">
      <w:pPr>
        <w:spacing w:after="0" w:line="240" w:lineRule="auto"/>
        <w:ind w:firstLine="709"/>
        <w:jc w:val="both"/>
        <w:rPr>
          <w:rFonts w:ascii="Times New Roman" w:hAnsi="Times New Roman" w:cs="Times New Roman"/>
          <w:sz w:val="24"/>
          <w:szCs w:val="24"/>
        </w:rPr>
      </w:pPr>
      <w:r w:rsidRPr="005C0645">
        <w:rPr>
          <w:rFonts w:ascii="Times New Roman" w:hAnsi="Times New Roman" w:cs="Times New Roman"/>
          <w:sz w:val="24"/>
          <w:szCs w:val="24"/>
        </w:rPr>
        <w:t xml:space="preserve">Для окончательного отнесения помещения к рассматриваемой категории, необходимо </w:t>
      </w:r>
      <w:r w:rsidR="000D5340" w:rsidRPr="005C0645">
        <w:rPr>
          <w:rFonts w:ascii="Times New Roman" w:hAnsi="Times New Roman" w:cs="Times New Roman"/>
          <w:sz w:val="24"/>
          <w:szCs w:val="24"/>
        </w:rPr>
        <w:t>рассчитать проверочный критерий. Если при определении категорий В</w:t>
      </w:r>
      <w:proofErr w:type="gramStart"/>
      <w:r w:rsidR="000D5340" w:rsidRPr="005C0645">
        <w:rPr>
          <w:rFonts w:ascii="Times New Roman" w:hAnsi="Times New Roman" w:cs="Times New Roman"/>
          <w:sz w:val="24"/>
          <w:szCs w:val="24"/>
        </w:rPr>
        <w:t>2</w:t>
      </w:r>
      <w:proofErr w:type="gramEnd"/>
      <w:r w:rsidR="000D5340" w:rsidRPr="005C0645">
        <w:rPr>
          <w:rFonts w:ascii="Times New Roman" w:hAnsi="Times New Roman" w:cs="Times New Roman"/>
          <w:sz w:val="24"/>
          <w:szCs w:val="24"/>
        </w:rPr>
        <w:t xml:space="preserve"> или В3 количество пожарной нагрузки </w:t>
      </w:r>
      <w:r w:rsidR="000D5340" w:rsidRPr="005C0645">
        <w:rPr>
          <w:rFonts w:ascii="Times New Roman" w:hAnsi="Times New Roman" w:cs="Times New Roman"/>
          <w:i/>
          <w:sz w:val="24"/>
          <w:szCs w:val="24"/>
          <w:lang w:val="en-US"/>
        </w:rPr>
        <w:t>Q</w:t>
      </w:r>
      <w:r w:rsidR="000D5340" w:rsidRPr="005C0645">
        <w:rPr>
          <w:rFonts w:ascii="Times New Roman" w:hAnsi="Times New Roman" w:cs="Times New Roman"/>
          <w:sz w:val="24"/>
          <w:szCs w:val="24"/>
        </w:rPr>
        <w:t xml:space="preserve">, определенное по формуле 2 </w:t>
      </w:r>
      <w:r w:rsidR="00BB38E6" w:rsidRPr="005C0645">
        <w:rPr>
          <w:rFonts w:ascii="Times New Roman" w:hAnsi="Times New Roman" w:cs="Times New Roman"/>
          <w:sz w:val="24"/>
          <w:szCs w:val="24"/>
        </w:rPr>
        <w:t>отвечает неравенству</w:t>
      </w:r>
      <w:r w:rsidR="00C145C8" w:rsidRPr="005C0645">
        <w:rPr>
          <w:rFonts w:ascii="Times New Roman" w:hAnsi="Times New Roman" w:cs="Times New Roman"/>
          <w:sz w:val="24"/>
          <w:szCs w:val="24"/>
        </w:rPr>
        <w:t xml:space="preserve"> 4, </w:t>
      </w:r>
      <w:r w:rsidR="00C145C8" w:rsidRPr="005C0645">
        <w:rPr>
          <w:rFonts w:ascii="Times New Roman" w:hAnsi="Times New Roman" w:cs="Times New Roman"/>
          <w:noProof/>
          <w:sz w:val="24"/>
          <w:szCs w:val="24"/>
          <w:lang w:eastAsia="ru-RU"/>
        </w:rPr>
        <w:lastRenderedPageBreak/>
        <w:t>то категория увеличится и помещение будет относиться к кате</w:t>
      </w:r>
      <w:r w:rsidR="00194B01" w:rsidRPr="005C0645">
        <w:rPr>
          <w:rFonts w:ascii="Times New Roman" w:hAnsi="Times New Roman" w:cs="Times New Roman"/>
          <w:noProof/>
          <w:sz w:val="24"/>
          <w:szCs w:val="24"/>
          <w:lang w:eastAsia="ru-RU"/>
        </w:rPr>
        <w:t xml:space="preserve">гориям В1 или В2 соответственно: </w:t>
      </w:r>
    </w:p>
    <w:p w:rsidR="00BB38E6" w:rsidRPr="005C0645" w:rsidRDefault="00BB38E6" w:rsidP="005C0645">
      <w:pPr>
        <w:spacing w:after="0" w:line="240" w:lineRule="auto"/>
        <w:ind w:firstLine="709"/>
        <w:jc w:val="center"/>
        <w:rPr>
          <w:rFonts w:ascii="Times New Roman" w:hAnsi="Times New Roman" w:cs="Times New Roman"/>
          <w:noProof/>
          <w:sz w:val="24"/>
          <w:szCs w:val="24"/>
          <w:lang w:eastAsia="ru-RU"/>
        </w:rPr>
      </w:pPr>
      <m:oMath>
        <m:r>
          <w:rPr>
            <w:rFonts w:ascii="Cambria Math" w:hAnsi="Cambria Math" w:cs="Times New Roman"/>
            <w:sz w:val="24"/>
            <w:szCs w:val="24"/>
          </w:rPr>
          <m:t>Q</m:t>
        </m:r>
        <m:r>
          <w:rPr>
            <w:rFonts w:ascii="Cambria Math" w:hAnsi="Times New Roman" w:cs="Times New Roman"/>
            <w:sz w:val="24"/>
            <w:szCs w:val="24"/>
          </w:rPr>
          <m:t>≥</m:t>
        </m:r>
        <m:r>
          <w:rPr>
            <w:rFonts w:ascii="Cambria Math" w:hAnsi="Times New Roman" w:cs="Times New Roman"/>
            <w:sz w:val="24"/>
            <w:szCs w:val="24"/>
          </w:rPr>
          <m:t>0,64</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τ</m:t>
            </m:r>
          </m:sub>
        </m:sSub>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H</m:t>
            </m:r>
          </m:e>
          <m:sup>
            <m:r>
              <w:rPr>
                <w:rFonts w:ascii="Cambria Math" w:hAnsi="Times New Roman" w:cs="Times New Roman"/>
                <w:sz w:val="24"/>
                <w:szCs w:val="24"/>
              </w:rPr>
              <m:t>2</m:t>
            </m:r>
          </m:sup>
        </m:sSup>
      </m:oMath>
      <w:r w:rsidRPr="005C0645">
        <w:rPr>
          <w:rFonts w:ascii="Times New Roman" w:hAnsi="Times New Roman" w:cs="Times New Roman"/>
          <w:noProof/>
          <w:sz w:val="24"/>
          <w:szCs w:val="24"/>
          <w:lang w:eastAsia="ru-RU"/>
        </w:rPr>
        <w:t>,</w:t>
      </w:r>
      <w:r w:rsidR="00C145C8" w:rsidRPr="005C0645">
        <w:rPr>
          <w:rFonts w:ascii="Times New Roman" w:hAnsi="Times New Roman" w:cs="Times New Roman"/>
          <w:noProof/>
          <w:sz w:val="24"/>
          <w:szCs w:val="24"/>
          <w:lang w:eastAsia="ru-RU"/>
        </w:rPr>
        <w:t xml:space="preserve"> (4)</w:t>
      </w:r>
    </w:p>
    <w:p w:rsidR="00BB38E6" w:rsidRPr="005C0645" w:rsidRDefault="00BB38E6" w:rsidP="005C0645">
      <w:pPr>
        <w:spacing w:after="0" w:line="240" w:lineRule="auto"/>
        <w:ind w:firstLine="709"/>
        <w:jc w:val="both"/>
        <w:rPr>
          <w:rFonts w:ascii="Times New Roman" w:eastAsiaTheme="minorEastAsia" w:hAnsi="Times New Roman" w:cs="Times New Roman"/>
          <w:noProof/>
          <w:sz w:val="24"/>
          <w:szCs w:val="24"/>
          <w:vertAlign w:val="superscript"/>
        </w:rPr>
      </w:pPr>
      <w:r w:rsidRPr="005C0645">
        <w:rPr>
          <w:rFonts w:ascii="Times New Roman" w:hAnsi="Times New Roman" w:cs="Times New Roman"/>
          <w:noProof/>
          <w:sz w:val="24"/>
          <w:szCs w:val="24"/>
          <w:lang w:eastAsia="ru-RU"/>
        </w:rPr>
        <w:t xml:space="preserve">где </w:t>
      </w:r>
      <m:oMath>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τ</m:t>
            </m:r>
          </m:sub>
        </m:sSub>
        <m:r>
          <w:rPr>
            <w:rFonts w:ascii="Cambria Math" w:hAnsi="Times New Roman" w:cs="Times New Roman"/>
            <w:sz w:val="24"/>
            <w:szCs w:val="24"/>
          </w:rPr>
          <m:t xml:space="preserve">= </m:t>
        </m:r>
      </m:oMath>
      <w:r w:rsidR="009A5904" w:rsidRPr="005C0645">
        <w:rPr>
          <w:rFonts w:ascii="Times New Roman" w:eastAsiaTheme="minorEastAsia" w:hAnsi="Times New Roman" w:cs="Times New Roman"/>
          <w:noProof/>
          <w:sz w:val="24"/>
          <w:szCs w:val="24"/>
        </w:rPr>
        <w:t xml:space="preserve">2200 МДж·м </w:t>
      </w:r>
      <w:r w:rsidR="009A5904" w:rsidRPr="005C0645">
        <w:rPr>
          <w:rFonts w:ascii="Times New Roman" w:eastAsiaTheme="minorEastAsia" w:hAnsi="Times New Roman" w:cs="Times New Roman"/>
          <w:noProof/>
          <w:sz w:val="24"/>
          <w:szCs w:val="24"/>
          <w:vertAlign w:val="superscript"/>
        </w:rPr>
        <w:t>-2</w:t>
      </w:r>
      <w:r w:rsidR="009A5904" w:rsidRPr="005C0645">
        <w:rPr>
          <w:rFonts w:ascii="Times New Roman" w:eastAsiaTheme="minorEastAsia" w:hAnsi="Times New Roman" w:cs="Times New Roman"/>
          <w:noProof/>
          <w:sz w:val="24"/>
          <w:szCs w:val="24"/>
        </w:rPr>
        <w:t xml:space="preserve"> при 1401 МДж·м </w:t>
      </w:r>
      <w:r w:rsidR="009A5904" w:rsidRPr="005C0645">
        <w:rPr>
          <w:rFonts w:ascii="Times New Roman" w:eastAsiaTheme="minorEastAsia" w:hAnsi="Times New Roman" w:cs="Times New Roman"/>
          <w:noProof/>
          <w:sz w:val="24"/>
          <w:szCs w:val="24"/>
          <w:vertAlign w:val="superscript"/>
        </w:rPr>
        <w:t>-2</w:t>
      </w:r>
      <w:r w:rsidR="009A5904" w:rsidRPr="005C0645">
        <w:rPr>
          <w:rFonts w:ascii="Times New Roman" w:eastAsiaTheme="minorEastAsia" w:hAnsi="Times New Roman" w:cs="Times New Roman"/>
          <w:noProof/>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τ</m:t>
            </m:r>
          </m:sub>
        </m:sSub>
      </m:oMath>
      <w:r w:rsidR="009A5904" w:rsidRPr="005C0645">
        <w:rPr>
          <w:rFonts w:ascii="Times New Roman" w:eastAsiaTheme="minorEastAsia" w:hAnsi="Times New Roman" w:cs="Times New Roman"/>
          <w:noProof/>
          <w:sz w:val="24"/>
          <w:szCs w:val="24"/>
        </w:rPr>
        <w:t xml:space="preserve">≤ 2200 МДж·м </w:t>
      </w:r>
      <w:r w:rsidR="009A5904" w:rsidRPr="005C0645">
        <w:rPr>
          <w:rFonts w:ascii="Times New Roman" w:eastAsiaTheme="minorEastAsia" w:hAnsi="Times New Roman" w:cs="Times New Roman"/>
          <w:noProof/>
          <w:sz w:val="24"/>
          <w:szCs w:val="24"/>
          <w:vertAlign w:val="superscript"/>
        </w:rPr>
        <w:t>-2</w:t>
      </w:r>
      <w:r w:rsidR="009A5904" w:rsidRPr="005C0645">
        <w:rPr>
          <w:rFonts w:ascii="Times New Roman" w:eastAsiaTheme="minorEastAsia" w:hAnsi="Times New Roman" w:cs="Times New Roman"/>
          <w:noProof/>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τ</m:t>
            </m:r>
          </m:sub>
        </m:sSub>
        <m:r>
          <w:rPr>
            <w:rFonts w:ascii="Cambria Math" w:hAnsi="Times New Roman" w:cs="Times New Roman"/>
            <w:sz w:val="24"/>
            <w:szCs w:val="24"/>
          </w:rPr>
          <m:t xml:space="preserve">= </m:t>
        </m:r>
      </m:oMath>
      <w:r w:rsidR="009A5904" w:rsidRPr="005C0645">
        <w:rPr>
          <w:rFonts w:ascii="Times New Roman" w:eastAsiaTheme="minorEastAsia" w:hAnsi="Times New Roman" w:cs="Times New Roman"/>
          <w:noProof/>
          <w:sz w:val="24"/>
          <w:szCs w:val="24"/>
        </w:rPr>
        <w:t xml:space="preserve">1400 МДж·м </w:t>
      </w:r>
      <w:r w:rsidR="009A5904" w:rsidRPr="005C0645">
        <w:rPr>
          <w:rFonts w:ascii="Times New Roman" w:eastAsiaTheme="minorEastAsia" w:hAnsi="Times New Roman" w:cs="Times New Roman"/>
          <w:noProof/>
          <w:sz w:val="24"/>
          <w:szCs w:val="24"/>
          <w:vertAlign w:val="superscript"/>
        </w:rPr>
        <w:t>-2</w:t>
      </w:r>
      <w:r w:rsidR="009A5904" w:rsidRPr="005C0645">
        <w:rPr>
          <w:rFonts w:ascii="Times New Roman" w:eastAsiaTheme="minorEastAsia" w:hAnsi="Times New Roman" w:cs="Times New Roman"/>
          <w:noProof/>
          <w:sz w:val="24"/>
          <w:szCs w:val="24"/>
        </w:rPr>
        <w:t xml:space="preserve"> при 181 МДж·м </w:t>
      </w:r>
      <w:r w:rsidR="009A5904" w:rsidRPr="005C0645">
        <w:rPr>
          <w:rFonts w:ascii="Times New Roman" w:eastAsiaTheme="minorEastAsia" w:hAnsi="Times New Roman" w:cs="Times New Roman"/>
          <w:noProof/>
          <w:sz w:val="24"/>
          <w:szCs w:val="24"/>
          <w:vertAlign w:val="superscript"/>
        </w:rPr>
        <w:t>-2</w:t>
      </w:r>
      <w:r w:rsidR="009A5904" w:rsidRPr="005C0645">
        <w:rPr>
          <w:rFonts w:ascii="Times New Roman" w:eastAsiaTheme="minorEastAsia" w:hAnsi="Times New Roman" w:cs="Times New Roman"/>
          <w:noProof/>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τ</m:t>
            </m:r>
          </m:sub>
        </m:sSub>
      </m:oMath>
      <w:r w:rsidR="009A5904" w:rsidRPr="005C0645">
        <w:rPr>
          <w:rFonts w:ascii="Times New Roman" w:eastAsiaTheme="minorEastAsia" w:hAnsi="Times New Roman" w:cs="Times New Roman"/>
          <w:noProof/>
          <w:sz w:val="24"/>
          <w:szCs w:val="24"/>
        </w:rPr>
        <w:t xml:space="preserve">≤ 1400 МДж·м </w:t>
      </w:r>
      <w:r w:rsidR="009A5904" w:rsidRPr="005C0645">
        <w:rPr>
          <w:rFonts w:ascii="Times New Roman" w:eastAsiaTheme="minorEastAsia" w:hAnsi="Times New Roman" w:cs="Times New Roman"/>
          <w:noProof/>
          <w:sz w:val="24"/>
          <w:szCs w:val="24"/>
          <w:vertAlign w:val="superscript"/>
        </w:rPr>
        <w:t>-2</w:t>
      </w:r>
    </w:p>
    <w:p w:rsidR="009A5904" w:rsidRPr="005C0645" w:rsidRDefault="009A5904" w:rsidP="005C0645">
      <w:pPr>
        <w:spacing w:after="0" w:line="240" w:lineRule="auto"/>
        <w:ind w:firstLine="709"/>
        <w:jc w:val="both"/>
        <w:rPr>
          <w:rFonts w:ascii="Times New Roman" w:eastAsiaTheme="minorEastAsia" w:hAnsi="Times New Roman" w:cs="Times New Roman"/>
          <w:noProof/>
          <w:sz w:val="24"/>
          <w:szCs w:val="24"/>
        </w:rPr>
      </w:pPr>
    </w:p>
    <w:p w:rsidR="00E2233F" w:rsidRPr="005C0645" w:rsidRDefault="00E2233F" w:rsidP="005C0645">
      <w:pPr>
        <w:spacing w:after="0" w:line="240" w:lineRule="auto"/>
        <w:ind w:firstLine="709"/>
        <w:jc w:val="both"/>
        <w:rPr>
          <w:rFonts w:ascii="Times New Roman" w:hAnsi="Times New Roman" w:cs="Times New Roman"/>
          <w:sz w:val="24"/>
          <w:szCs w:val="24"/>
        </w:rPr>
      </w:pPr>
      <w:r w:rsidRPr="005C0645">
        <w:rPr>
          <w:rFonts w:ascii="Times New Roman" w:hAnsi="Times New Roman" w:cs="Times New Roman"/>
          <w:sz w:val="24"/>
          <w:szCs w:val="24"/>
        </w:rPr>
        <w:t xml:space="preserve">Результаты расчетов для помещений обоих участков приведены в таблице №5. </w:t>
      </w:r>
    </w:p>
    <w:p w:rsidR="005C0645" w:rsidRPr="005B1481" w:rsidRDefault="005C0645" w:rsidP="005C0645">
      <w:pPr>
        <w:spacing w:after="0" w:line="240" w:lineRule="auto"/>
        <w:ind w:firstLine="709"/>
        <w:jc w:val="both"/>
        <w:rPr>
          <w:rFonts w:ascii="Times New Roman" w:hAnsi="Times New Roman" w:cs="Times New Roman"/>
          <w:sz w:val="24"/>
          <w:szCs w:val="24"/>
        </w:rPr>
      </w:pPr>
    </w:p>
    <w:p w:rsidR="00E2233F" w:rsidRPr="005C0645" w:rsidRDefault="00E2233F" w:rsidP="005C0645">
      <w:pPr>
        <w:spacing w:after="0" w:line="240" w:lineRule="auto"/>
        <w:ind w:firstLine="709"/>
        <w:jc w:val="both"/>
        <w:rPr>
          <w:rFonts w:ascii="Times New Roman" w:hAnsi="Times New Roman" w:cs="Times New Roman"/>
          <w:sz w:val="24"/>
          <w:szCs w:val="24"/>
        </w:rPr>
      </w:pPr>
      <w:r w:rsidRPr="005C0645">
        <w:rPr>
          <w:rFonts w:ascii="Times New Roman" w:hAnsi="Times New Roman" w:cs="Times New Roman"/>
          <w:sz w:val="24"/>
          <w:szCs w:val="24"/>
        </w:rPr>
        <w:t>Таблица №5. Результаты проверочных расчетов</w:t>
      </w:r>
      <w:r w:rsidR="00921014" w:rsidRPr="005C0645">
        <w:rPr>
          <w:rFonts w:ascii="Times New Roman" w:hAnsi="Times New Roman" w:cs="Times New Roman"/>
          <w:sz w:val="24"/>
          <w:szCs w:val="24"/>
        </w:rPr>
        <w:t xml:space="preserve"> </w:t>
      </w:r>
    </w:p>
    <w:tbl>
      <w:tblPr>
        <w:tblStyle w:val="a5"/>
        <w:tblW w:w="9464" w:type="dxa"/>
        <w:jc w:val="center"/>
        <w:tblLook w:val="04A0" w:firstRow="1" w:lastRow="0" w:firstColumn="1" w:lastColumn="0" w:noHBand="0" w:noVBand="1"/>
      </w:tblPr>
      <w:tblGrid>
        <w:gridCol w:w="1809"/>
        <w:gridCol w:w="3777"/>
        <w:gridCol w:w="3878"/>
      </w:tblGrid>
      <w:tr w:rsidR="00E2233F" w:rsidRPr="005C0645" w:rsidTr="00EB3C2E">
        <w:trPr>
          <w:jc w:val="center"/>
        </w:trPr>
        <w:tc>
          <w:tcPr>
            <w:tcW w:w="1809" w:type="dxa"/>
            <w:vAlign w:val="center"/>
          </w:tcPr>
          <w:p w:rsidR="00E2233F" w:rsidRPr="005C0645" w:rsidRDefault="00E2233F" w:rsidP="005C0645">
            <w:pPr>
              <w:jc w:val="center"/>
              <w:rPr>
                <w:rFonts w:ascii="Times New Roman" w:hAnsi="Times New Roman" w:cs="Times New Roman"/>
                <w:sz w:val="24"/>
                <w:szCs w:val="24"/>
              </w:rPr>
            </w:pPr>
            <w:r w:rsidRPr="005C0645">
              <w:rPr>
                <w:rFonts w:ascii="Times New Roman" w:hAnsi="Times New Roman" w:cs="Times New Roman"/>
                <w:sz w:val="24"/>
                <w:szCs w:val="24"/>
              </w:rPr>
              <w:t>Помещение</w:t>
            </w:r>
          </w:p>
        </w:tc>
        <w:tc>
          <w:tcPr>
            <w:tcW w:w="3777" w:type="dxa"/>
            <w:vAlign w:val="center"/>
          </w:tcPr>
          <w:p w:rsidR="00E2233F" w:rsidRPr="005C0645" w:rsidRDefault="00E2233F" w:rsidP="005C0645">
            <w:pPr>
              <w:jc w:val="center"/>
              <w:rPr>
                <w:rFonts w:ascii="Times New Roman" w:hAnsi="Times New Roman" w:cs="Times New Roman"/>
                <w:sz w:val="24"/>
                <w:szCs w:val="24"/>
              </w:rPr>
            </w:pPr>
            <w:r w:rsidRPr="005C0645">
              <w:rPr>
                <w:rFonts w:ascii="Times New Roman" w:hAnsi="Times New Roman" w:cs="Times New Roman"/>
                <w:sz w:val="24"/>
                <w:szCs w:val="24"/>
              </w:rPr>
              <w:t xml:space="preserve">Расстояние </w:t>
            </w:r>
            <w:r w:rsidRPr="005C0645">
              <w:rPr>
                <w:rFonts w:ascii="Times New Roman" w:hAnsi="Times New Roman" w:cs="Times New Roman"/>
                <w:i/>
                <w:sz w:val="24"/>
                <w:szCs w:val="24"/>
                <w:lang w:val="en-US"/>
              </w:rPr>
              <w:t>l</w:t>
            </w:r>
            <w:r w:rsidRPr="005C0645">
              <w:rPr>
                <w:rFonts w:ascii="Times New Roman" w:hAnsi="Times New Roman" w:cs="Times New Roman"/>
                <w:sz w:val="24"/>
                <w:szCs w:val="24"/>
              </w:rPr>
              <w:t xml:space="preserve"> между участками, со стороны каждого из них</w:t>
            </w:r>
            <w:r w:rsidR="003A6A0B" w:rsidRPr="005C0645">
              <w:rPr>
                <w:rFonts w:ascii="Times New Roman" w:hAnsi="Times New Roman" w:cs="Times New Roman"/>
                <w:sz w:val="24"/>
                <w:szCs w:val="24"/>
              </w:rPr>
              <w:t xml:space="preserve">, </w:t>
            </w:r>
            <w:proofErr w:type="gramStart"/>
            <w:r w:rsidR="003A6A0B" w:rsidRPr="005C0645">
              <w:rPr>
                <w:rFonts w:ascii="Times New Roman" w:hAnsi="Times New Roman" w:cs="Times New Roman"/>
                <w:sz w:val="24"/>
                <w:szCs w:val="24"/>
              </w:rPr>
              <w:t>м</w:t>
            </w:r>
            <w:proofErr w:type="gramEnd"/>
          </w:p>
        </w:tc>
        <w:tc>
          <w:tcPr>
            <w:tcW w:w="3878" w:type="dxa"/>
            <w:vAlign w:val="center"/>
          </w:tcPr>
          <w:p w:rsidR="00EB3C2E" w:rsidRPr="005C0645" w:rsidRDefault="00E2233F" w:rsidP="005C0645">
            <w:pPr>
              <w:jc w:val="center"/>
              <w:rPr>
                <w:rFonts w:ascii="Times New Roman" w:eastAsiaTheme="minorEastAsia" w:hAnsi="Times New Roman" w:cs="Times New Roman"/>
                <w:sz w:val="24"/>
                <w:szCs w:val="24"/>
              </w:rPr>
            </w:pPr>
            <w:r w:rsidRPr="005C0645">
              <w:rPr>
                <w:rFonts w:ascii="Times New Roman" w:hAnsi="Times New Roman" w:cs="Times New Roman"/>
                <w:sz w:val="24"/>
                <w:szCs w:val="24"/>
              </w:rPr>
              <w:t>Выполнимость критерия</w:t>
            </w:r>
          </w:p>
          <w:p w:rsidR="00E2233F" w:rsidRPr="005C0645" w:rsidRDefault="00EB3C2E" w:rsidP="005C0645">
            <w:pPr>
              <w:jc w:val="center"/>
              <w:rPr>
                <w:rFonts w:ascii="Times New Roman" w:hAnsi="Times New Roman" w:cs="Times New Roman"/>
                <w:sz w:val="24"/>
                <w:szCs w:val="24"/>
              </w:rPr>
            </w:pPr>
            <m:oMathPara>
              <m:oMath>
                <m:r>
                  <w:rPr>
                    <w:rFonts w:ascii="Cambria Math" w:hAnsi="Cambria Math" w:cs="Times New Roman"/>
                    <w:sz w:val="24"/>
                    <w:szCs w:val="24"/>
                  </w:rPr>
                  <m:t>Q</m:t>
                </m:r>
                <m:r>
                  <w:rPr>
                    <w:rFonts w:ascii="Cambria Math" w:hAnsi="Times New Roman" w:cs="Times New Roman"/>
                    <w:sz w:val="24"/>
                    <w:szCs w:val="24"/>
                  </w:rPr>
                  <m:t>≥</m:t>
                </m:r>
                <m:r>
                  <w:rPr>
                    <w:rFonts w:ascii="Cambria Math" w:hAnsi="Times New Roman" w:cs="Times New Roman"/>
                    <w:sz w:val="24"/>
                    <w:szCs w:val="24"/>
                  </w:rPr>
                  <m:t>0,64</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τ</m:t>
                    </m:r>
                  </m:sub>
                </m:sSub>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H</m:t>
                    </m:r>
                  </m:e>
                  <m:sup>
                    <m:r>
                      <w:rPr>
                        <w:rFonts w:ascii="Cambria Math" w:hAnsi="Times New Roman" w:cs="Times New Roman"/>
                        <w:sz w:val="24"/>
                        <w:szCs w:val="24"/>
                      </w:rPr>
                      <m:t>2</m:t>
                    </m:r>
                  </m:sup>
                </m:sSup>
              </m:oMath>
            </m:oMathPara>
          </w:p>
        </w:tc>
      </w:tr>
      <w:tr w:rsidR="00921014" w:rsidRPr="005C0645" w:rsidTr="00EB3C2E">
        <w:trPr>
          <w:jc w:val="center"/>
        </w:trPr>
        <w:tc>
          <w:tcPr>
            <w:tcW w:w="1809" w:type="dxa"/>
            <w:vAlign w:val="center"/>
          </w:tcPr>
          <w:p w:rsidR="00921014" w:rsidRPr="005C0645" w:rsidRDefault="00921014" w:rsidP="005C0645">
            <w:pPr>
              <w:jc w:val="center"/>
              <w:rPr>
                <w:rFonts w:ascii="Times New Roman" w:hAnsi="Times New Roman" w:cs="Times New Roman"/>
                <w:sz w:val="24"/>
                <w:szCs w:val="24"/>
              </w:rPr>
            </w:pPr>
            <w:r w:rsidRPr="005C0645">
              <w:rPr>
                <w:rFonts w:ascii="Times New Roman" w:hAnsi="Times New Roman" w:cs="Times New Roman"/>
                <w:sz w:val="24"/>
                <w:szCs w:val="24"/>
              </w:rPr>
              <w:t>Участок № 1</w:t>
            </w:r>
          </w:p>
        </w:tc>
        <w:tc>
          <w:tcPr>
            <w:tcW w:w="3777" w:type="dxa"/>
            <w:vMerge w:val="restart"/>
            <w:vAlign w:val="center"/>
          </w:tcPr>
          <w:p w:rsidR="00921014" w:rsidRPr="005C0645" w:rsidRDefault="00921014" w:rsidP="005C0645">
            <w:pPr>
              <w:jc w:val="center"/>
              <w:rPr>
                <w:rFonts w:ascii="Times New Roman" w:hAnsi="Times New Roman" w:cs="Times New Roman"/>
                <w:sz w:val="24"/>
                <w:szCs w:val="24"/>
              </w:rPr>
            </w:pPr>
            <w:r w:rsidRPr="005C0645">
              <w:rPr>
                <w:rFonts w:ascii="Times New Roman" w:hAnsi="Times New Roman" w:cs="Times New Roman"/>
                <w:sz w:val="24"/>
                <w:szCs w:val="24"/>
              </w:rPr>
              <w:t>Не больше 16</w:t>
            </w:r>
          </w:p>
        </w:tc>
        <w:tc>
          <w:tcPr>
            <w:tcW w:w="3878" w:type="dxa"/>
            <w:vAlign w:val="center"/>
          </w:tcPr>
          <w:p w:rsidR="00921014" w:rsidRPr="005C0645" w:rsidRDefault="00921014" w:rsidP="005C0645">
            <w:pPr>
              <w:jc w:val="center"/>
              <w:rPr>
                <w:rFonts w:ascii="Times New Roman" w:hAnsi="Times New Roman" w:cs="Times New Roman"/>
                <w:sz w:val="24"/>
                <w:szCs w:val="24"/>
              </w:rPr>
            </w:pPr>
            <w:r w:rsidRPr="005C0645">
              <w:rPr>
                <w:rFonts w:ascii="Times New Roman" w:hAnsi="Times New Roman" w:cs="Times New Roman"/>
                <w:sz w:val="24"/>
                <w:szCs w:val="24"/>
              </w:rPr>
              <w:t>Выполняется</w:t>
            </w:r>
          </w:p>
        </w:tc>
      </w:tr>
      <w:tr w:rsidR="00921014" w:rsidRPr="005C0645" w:rsidTr="00921014">
        <w:trPr>
          <w:jc w:val="center"/>
        </w:trPr>
        <w:tc>
          <w:tcPr>
            <w:tcW w:w="1809" w:type="dxa"/>
            <w:vAlign w:val="center"/>
          </w:tcPr>
          <w:p w:rsidR="00921014" w:rsidRPr="005C0645" w:rsidRDefault="00921014" w:rsidP="005C0645">
            <w:pPr>
              <w:jc w:val="center"/>
              <w:rPr>
                <w:rFonts w:ascii="Times New Roman" w:hAnsi="Times New Roman" w:cs="Times New Roman"/>
                <w:sz w:val="24"/>
                <w:szCs w:val="24"/>
              </w:rPr>
            </w:pPr>
            <w:r w:rsidRPr="005C0645">
              <w:rPr>
                <w:rFonts w:ascii="Times New Roman" w:hAnsi="Times New Roman" w:cs="Times New Roman"/>
                <w:sz w:val="24"/>
                <w:szCs w:val="24"/>
              </w:rPr>
              <w:t>Кладовая участка №1</w:t>
            </w:r>
          </w:p>
        </w:tc>
        <w:tc>
          <w:tcPr>
            <w:tcW w:w="3777" w:type="dxa"/>
            <w:vMerge/>
            <w:vAlign w:val="center"/>
          </w:tcPr>
          <w:p w:rsidR="00921014" w:rsidRPr="005C0645" w:rsidRDefault="00921014" w:rsidP="005C0645">
            <w:pPr>
              <w:jc w:val="center"/>
              <w:rPr>
                <w:rFonts w:ascii="Times New Roman" w:hAnsi="Times New Roman" w:cs="Times New Roman"/>
                <w:sz w:val="24"/>
                <w:szCs w:val="24"/>
              </w:rPr>
            </w:pPr>
          </w:p>
        </w:tc>
        <w:tc>
          <w:tcPr>
            <w:tcW w:w="3878" w:type="dxa"/>
            <w:vAlign w:val="center"/>
          </w:tcPr>
          <w:p w:rsidR="00921014" w:rsidRPr="005C0645" w:rsidRDefault="00921014" w:rsidP="005C0645">
            <w:pPr>
              <w:jc w:val="center"/>
              <w:rPr>
                <w:rFonts w:ascii="Times New Roman" w:hAnsi="Times New Roman" w:cs="Times New Roman"/>
                <w:sz w:val="24"/>
                <w:szCs w:val="24"/>
              </w:rPr>
            </w:pPr>
            <w:r w:rsidRPr="005C0645">
              <w:rPr>
                <w:rFonts w:ascii="Times New Roman" w:hAnsi="Times New Roman" w:cs="Times New Roman"/>
                <w:sz w:val="24"/>
                <w:szCs w:val="24"/>
              </w:rPr>
              <w:t>Выполняется</w:t>
            </w:r>
          </w:p>
        </w:tc>
      </w:tr>
      <w:tr w:rsidR="00921014" w:rsidRPr="005C0645" w:rsidTr="00EB3C2E">
        <w:trPr>
          <w:jc w:val="center"/>
        </w:trPr>
        <w:tc>
          <w:tcPr>
            <w:tcW w:w="1809" w:type="dxa"/>
            <w:vAlign w:val="center"/>
          </w:tcPr>
          <w:p w:rsidR="00921014" w:rsidRPr="005C0645" w:rsidRDefault="00921014" w:rsidP="005C0645">
            <w:pPr>
              <w:jc w:val="center"/>
              <w:rPr>
                <w:rFonts w:ascii="Times New Roman" w:hAnsi="Times New Roman" w:cs="Times New Roman"/>
                <w:sz w:val="24"/>
                <w:szCs w:val="24"/>
              </w:rPr>
            </w:pPr>
            <w:r w:rsidRPr="005C0645">
              <w:rPr>
                <w:rFonts w:ascii="Times New Roman" w:hAnsi="Times New Roman" w:cs="Times New Roman"/>
                <w:sz w:val="24"/>
                <w:szCs w:val="24"/>
              </w:rPr>
              <w:t>Участок №2</w:t>
            </w:r>
          </w:p>
        </w:tc>
        <w:tc>
          <w:tcPr>
            <w:tcW w:w="3777" w:type="dxa"/>
            <w:vMerge w:val="restart"/>
            <w:vAlign w:val="center"/>
          </w:tcPr>
          <w:p w:rsidR="00921014" w:rsidRPr="005C0645" w:rsidRDefault="00921014" w:rsidP="005C0645">
            <w:pPr>
              <w:jc w:val="center"/>
              <w:rPr>
                <w:rFonts w:ascii="Times New Roman" w:hAnsi="Times New Roman" w:cs="Times New Roman"/>
                <w:sz w:val="24"/>
                <w:szCs w:val="24"/>
              </w:rPr>
            </w:pPr>
            <w:r w:rsidRPr="005C0645">
              <w:rPr>
                <w:rFonts w:ascii="Times New Roman" w:hAnsi="Times New Roman" w:cs="Times New Roman"/>
                <w:sz w:val="24"/>
                <w:szCs w:val="24"/>
              </w:rPr>
              <w:t xml:space="preserve">Не больше </w:t>
            </w:r>
            <w:r w:rsidRPr="005C0645">
              <w:rPr>
                <w:rFonts w:ascii="Times New Roman" w:hAnsi="Times New Roman" w:cs="Times New Roman"/>
                <w:sz w:val="24"/>
                <w:szCs w:val="24"/>
                <w:lang w:val="en-US"/>
              </w:rPr>
              <w:t>16</w:t>
            </w:r>
          </w:p>
        </w:tc>
        <w:tc>
          <w:tcPr>
            <w:tcW w:w="3878" w:type="dxa"/>
            <w:vAlign w:val="center"/>
          </w:tcPr>
          <w:p w:rsidR="00921014" w:rsidRPr="005C0645" w:rsidRDefault="00921014" w:rsidP="005C0645">
            <w:pPr>
              <w:jc w:val="center"/>
              <w:rPr>
                <w:rFonts w:ascii="Times New Roman" w:hAnsi="Times New Roman" w:cs="Times New Roman"/>
                <w:sz w:val="24"/>
                <w:szCs w:val="24"/>
              </w:rPr>
            </w:pPr>
            <w:r w:rsidRPr="005C0645">
              <w:rPr>
                <w:rFonts w:ascii="Times New Roman" w:hAnsi="Times New Roman" w:cs="Times New Roman"/>
                <w:sz w:val="24"/>
                <w:szCs w:val="24"/>
              </w:rPr>
              <w:t>Выполняется</w:t>
            </w:r>
          </w:p>
        </w:tc>
      </w:tr>
      <w:tr w:rsidR="00921014" w:rsidRPr="005C0645" w:rsidTr="00EB3C2E">
        <w:trPr>
          <w:jc w:val="center"/>
        </w:trPr>
        <w:tc>
          <w:tcPr>
            <w:tcW w:w="1809" w:type="dxa"/>
            <w:vAlign w:val="center"/>
          </w:tcPr>
          <w:p w:rsidR="00921014" w:rsidRPr="005C0645" w:rsidRDefault="00921014" w:rsidP="005C0645">
            <w:pPr>
              <w:jc w:val="center"/>
              <w:rPr>
                <w:rFonts w:ascii="Times New Roman" w:hAnsi="Times New Roman" w:cs="Times New Roman"/>
                <w:sz w:val="24"/>
                <w:szCs w:val="24"/>
              </w:rPr>
            </w:pPr>
            <w:r w:rsidRPr="005C0645">
              <w:rPr>
                <w:rFonts w:ascii="Times New Roman" w:hAnsi="Times New Roman" w:cs="Times New Roman"/>
                <w:sz w:val="24"/>
                <w:szCs w:val="24"/>
              </w:rPr>
              <w:t>Кладовая участка №2</w:t>
            </w:r>
          </w:p>
        </w:tc>
        <w:tc>
          <w:tcPr>
            <w:tcW w:w="3777" w:type="dxa"/>
            <w:vMerge/>
            <w:vAlign w:val="center"/>
          </w:tcPr>
          <w:p w:rsidR="00921014" w:rsidRPr="005C0645" w:rsidRDefault="00921014" w:rsidP="005C0645">
            <w:pPr>
              <w:jc w:val="center"/>
              <w:rPr>
                <w:rFonts w:ascii="Times New Roman" w:hAnsi="Times New Roman" w:cs="Times New Roman"/>
                <w:sz w:val="24"/>
                <w:szCs w:val="24"/>
              </w:rPr>
            </w:pPr>
          </w:p>
        </w:tc>
        <w:tc>
          <w:tcPr>
            <w:tcW w:w="3878" w:type="dxa"/>
            <w:vAlign w:val="center"/>
          </w:tcPr>
          <w:p w:rsidR="00921014" w:rsidRPr="005C0645" w:rsidRDefault="00921014" w:rsidP="005C0645">
            <w:pPr>
              <w:jc w:val="center"/>
              <w:rPr>
                <w:rFonts w:ascii="Times New Roman" w:hAnsi="Times New Roman" w:cs="Times New Roman"/>
                <w:sz w:val="24"/>
                <w:szCs w:val="24"/>
              </w:rPr>
            </w:pPr>
            <w:r w:rsidRPr="005C0645">
              <w:rPr>
                <w:rFonts w:ascii="Times New Roman" w:hAnsi="Times New Roman" w:cs="Times New Roman"/>
                <w:sz w:val="24"/>
                <w:szCs w:val="24"/>
              </w:rPr>
              <w:t>Выполняется</w:t>
            </w:r>
          </w:p>
        </w:tc>
      </w:tr>
    </w:tbl>
    <w:p w:rsidR="00E2233F" w:rsidRPr="005C0645" w:rsidRDefault="00E2233F" w:rsidP="005C0645">
      <w:pPr>
        <w:spacing w:after="0" w:line="240" w:lineRule="auto"/>
        <w:ind w:firstLine="709"/>
        <w:jc w:val="both"/>
        <w:rPr>
          <w:rFonts w:ascii="Times New Roman" w:hAnsi="Times New Roman" w:cs="Times New Roman"/>
          <w:sz w:val="24"/>
          <w:szCs w:val="24"/>
        </w:rPr>
      </w:pPr>
    </w:p>
    <w:p w:rsidR="00194B01" w:rsidRPr="005C0645" w:rsidRDefault="00194B01" w:rsidP="005C0645">
      <w:pPr>
        <w:spacing w:after="0" w:line="240" w:lineRule="auto"/>
        <w:ind w:firstLine="709"/>
        <w:jc w:val="both"/>
        <w:rPr>
          <w:rFonts w:ascii="Times New Roman" w:hAnsi="Times New Roman" w:cs="Times New Roman"/>
          <w:sz w:val="24"/>
          <w:szCs w:val="24"/>
        </w:rPr>
      </w:pPr>
      <w:r w:rsidRPr="005C0645">
        <w:rPr>
          <w:rFonts w:ascii="Times New Roman" w:hAnsi="Times New Roman" w:cs="Times New Roman"/>
          <w:sz w:val="24"/>
          <w:szCs w:val="24"/>
        </w:rPr>
        <w:t>Ф</w:t>
      </w:r>
      <w:r w:rsidR="007F3997" w:rsidRPr="005C0645">
        <w:rPr>
          <w:rFonts w:ascii="Times New Roman" w:hAnsi="Times New Roman" w:cs="Times New Roman"/>
          <w:sz w:val="24"/>
          <w:szCs w:val="24"/>
        </w:rPr>
        <w:t xml:space="preserve">актически пожарная нагрузка в цеху участка №1 распределена равномерно и предельное расстояние между участками нахождения пожарной нагрузки не более 16 м, </w:t>
      </w:r>
      <w:proofErr w:type="gramStart"/>
      <w:r w:rsidR="007F3997" w:rsidRPr="005C0645">
        <w:rPr>
          <w:rFonts w:ascii="Times New Roman" w:hAnsi="Times New Roman" w:cs="Times New Roman"/>
          <w:sz w:val="24"/>
          <w:szCs w:val="24"/>
        </w:rPr>
        <w:t>следовательно</w:t>
      </w:r>
      <w:proofErr w:type="gramEnd"/>
      <w:r w:rsidR="007F3997" w:rsidRPr="005C0645">
        <w:rPr>
          <w:rFonts w:ascii="Times New Roman" w:hAnsi="Times New Roman" w:cs="Times New Roman"/>
          <w:sz w:val="24"/>
          <w:szCs w:val="24"/>
        </w:rPr>
        <w:t xml:space="preserve"> помещение мож</w:t>
      </w:r>
      <w:r w:rsidRPr="005C0645">
        <w:rPr>
          <w:rFonts w:ascii="Times New Roman" w:hAnsi="Times New Roman" w:cs="Times New Roman"/>
          <w:sz w:val="24"/>
          <w:szCs w:val="24"/>
        </w:rPr>
        <w:t>е</w:t>
      </w:r>
      <w:r w:rsidR="007F3997" w:rsidRPr="005C0645">
        <w:rPr>
          <w:rFonts w:ascii="Times New Roman" w:hAnsi="Times New Roman" w:cs="Times New Roman"/>
          <w:sz w:val="24"/>
          <w:szCs w:val="24"/>
        </w:rPr>
        <w:t xml:space="preserve">т соответствовать категории В3, но </w:t>
      </w:r>
      <w:r w:rsidR="00921014" w:rsidRPr="005C0645">
        <w:rPr>
          <w:rFonts w:ascii="Times New Roman" w:hAnsi="Times New Roman" w:cs="Times New Roman"/>
          <w:sz w:val="24"/>
          <w:szCs w:val="24"/>
        </w:rPr>
        <w:t xml:space="preserve">неравенство </w:t>
      </w:r>
      <w:r w:rsidRPr="005C0645">
        <w:rPr>
          <w:rFonts w:ascii="Times New Roman" w:hAnsi="Times New Roman" w:cs="Times New Roman"/>
          <w:sz w:val="24"/>
          <w:szCs w:val="24"/>
        </w:rPr>
        <w:t>(</w:t>
      </w:r>
      <w:r w:rsidR="00921014" w:rsidRPr="005C0645">
        <w:rPr>
          <w:rFonts w:ascii="Times New Roman" w:hAnsi="Times New Roman" w:cs="Times New Roman"/>
          <w:sz w:val="24"/>
          <w:szCs w:val="24"/>
        </w:rPr>
        <w:t>4</w:t>
      </w:r>
      <w:r w:rsidRPr="005C0645">
        <w:rPr>
          <w:rFonts w:ascii="Times New Roman" w:hAnsi="Times New Roman" w:cs="Times New Roman"/>
          <w:sz w:val="24"/>
          <w:szCs w:val="24"/>
        </w:rPr>
        <w:t>)</w:t>
      </w:r>
      <w:r w:rsidR="00E2233F" w:rsidRPr="005C0645">
        <w:rPr>
          <w:rFonts w:ascii="Times New Roman" w:hAnsi="Times New Roman" w:cs="Times New Roman"/>
          <w:sz w:val="24"/>
          <w:szCs w:val="24"/>
        </w:rPr>
        <w:t xml:space="preserve"> для участка №1 выполняется. </w:t>
      </w:r>
      <w:r w:rsidRPr="005C0645">
        <w:rPr>
          <w:rFonts w:ascii="Times New Roman" w:hAnsi="Times New Roman" w:cs="Times New Roman"/>
          <w:sz w:val="24"/>
          <w:szCs w:val="24"/>
        </w:rPr>
        <w:t xml:space="preserve">В этом случае категорию </w:t>
      </w:r>
      <w:proofErr w:type="spellStart"/>
      <w:r w:rsidRPr="005C0645">
        <w:rPr>
          <w:rFonts w:ascii="Times New Roman" w:hAnsi="Times New Roman" w:cs="Times New Roman"/>
          <w:sz w:val="24"/>
          <w:szCs w:val="24"/>
        </w:rPr>
        <w:t>пожаровызровопасности</w:t>
      </w:r>
      <w:proofErr w:type="spellEnd"/>
      <w:r w:rsidRPr="005C0645">
        <w:rPr>
          <w:rFonts w:ascii="Times New Roman" w:hAnsi="Times New Roman" w:cs="Times New Roman"/>
          <w:sz w:val="24"/>
          <w:szCs w:val="24"/>
        </w:rPr>
        <w:t xml:space="preserve"> необходимо повысить на одну ступень в</w:t>
      </w:r>
      <w:r w:rsidR="00E2233F" w:rsidRPr="005C0645">
        <w:rPr>
          <w:rFonts w:ascii="Times New Roman" w:hAnsi="Times New Roman" w:cs="Times New Roman"/>
          <w:sz w:val="24"/>
          <w:szCs w:val="24"/>
        </w:rPr>
        <w:t xml:space="preserve"> соответствии с </w:t>
      </w:r>
      <w:r w:rsidR="00090EAB" w:rsidRPr="005C0645">
        <w:rPr>
          <w:rFonts w:ascii="Times New Roman" w:hAnsi="Times New Roman" w:cs="Times New Roman"/>
          <w:sz w:val="24"/>
          <w:szCs w:val="24"/>
        </w:rPr>
        <w:t>требованиями</w:t>
      </w:r>
      <w:r w:rsidR="00E2233F" w:rsidRPr="005C0645">
        <w:rPr>
          <w:rFonts w:ascii="Times New Roman" w:hAnsi="Times New Roman" w:cs="Times New Roman"/>
          <w:sz w:val="24"/>
          <w:szCs w:val="24"/>
        </w:rPr>
        <w:t xml:space="preserve"> </w:t>
      </w:r>
      <w:r w:rsidR="00921014" w:rsidRPr="005C0645">
        <w:rPr>
          <w:rFonts w:ascii="Times New Roman" w:hAnsi="Times New Roman" w:cs="Times New Roman"/>
          <w:sz w:val="24"/>
          <w:szCs w:val="24"/>
        </w:rPr>
        <w:t>СП 12.13130.2009</w:t>
      </w:r>
      <w:r w:rsidRPr="005C0645">
        <w:rPr>
          <w:rFonts w:ascii="Times New Roman" w:hAnsi="Times New Roman" w:cs="Times New Roman"/>
          <w:sz w:val="24"/>
          <w:szCs w:val="24"/>
        </w:rPr>
        <w:t xml:space="preserve">. Таким образом она составит </w:t>
      </w:r>
      <w:r w:rsidR="00E2233F" w:rsidRPr="005C0645">
        <w:rPr>
          <w:rFonts w:ascii="Times New Roman" w:hAnsi="Times New Roman" w:cs="Times New Roman"/>
          <w:sz w:val="24"/>
          <w:szCs w:val="24"/>
        </w:rPr>
        <w:t>В</w:t>
      </w:r>
      <w:proofErr w:type="gramStart"/>
      <w:r w:rsidR="00E2233F" w:rsidRPr="005C0645">
        <w:rPr>
          <w:rFonts w:ascii="Times New Roman" w:hAnsi="Times New Roman" w:cs="Times New Roman"/>
          <w:sz w:val="24"/>
          <w:szCs w:val="24"/>
        </w:rPr>
        <w:t>2</w:t>
      </w:r>
      <w:proofErr w:type="gramEnd"/>
      <w:r w:rsidR="00E2233F" w:rsidRPr="005C0645">
        <w:rPr>
          <w:rFonts w:ascii="Times New Roman" w:hAnsi="Times New Roman" w:cs="Times New Roman"/>
          <w:sz w:val="24"/>
          <w:szCs w:val="24"/>
        </w:rPr>
        <w:t xml:space="preserve">. </w:t>
      </w:r>
      <w:r w:rsidR="00921014" w:rsidRPr="005C0645">
        <w:rPr>
          <w:rFonts w:ascii="Times New Roman" w:hAnsi="Times New Roman" w:cs="Times New Roman"/>
          <w:sz w:val="24"/>
          <w:szCs w:val="24"/>
        </w:rPr>
        <w:t>Кат</w:t>
      </w:r>
      <w:r w:rsidR="007F3997" w:rsidRPr="005C0645">
        <w:rPr>
          <w:rFonts w:ascii="Times New Roman" w:hAnsi="Times New Roman" w:cs="Times New Roman"/>
          <w:sz w:val="24"/>
          <w:szCs w:val="24"/>
        </w:rPr>
        <w:t>е</w:t>
      </w:r>
      <w:r w:rsidR="00921014" w:rsidRPr="005C0645">
        <w:rPr>
          <w:rFonts w:ascii="Times New Roman" w:hAnsi="Times New Roman" w:cs="Times New Roman"/>
          <w:sz w:val="24"/>
          <w:szCs w:val="24"/>
        </w:rPr>
        <w:t xml:space="preserve">гория </w:t>
      </w:r>
      <w:proofErr w:type="spellStart"/>
      <w:r w:rsidR="00921014" w:rsidRPr="005C0645">
        <w:rPr>
          <w:rFonts w:ascii="Times New Roman" w:hAnsi="Times New Roman" w:cs="Times New Roman"/>
          <w:sz w:val="24"/>
          <w:szCs w:val="24"/>
        </w:rPr>
        <w:t>пожаро</w:t>
      </w:r>
      <w:r w:rsidR="00090EAB" w:rsidRPr="005C0645">
        <w:rPr>
          <w:rFonts w:ascii="Times New Roman" w:hAnsi="Times New Roman" w:cs="Times New Roman"/>
          <w:sz w:val="24"/>
          <w:szCs w:val="24"/>
        </w:rPr>
        <w:t>взрывоопасности</w:t>
      </w:r>
      <w:proofErr w:type="spellEnd"/>
      <w:r w:rsidR="00090EAB" w:rsidRPr="005C0645">
        <w:rPr>
          <w:rFonts w:ascii="Times New Roman" w:hAnsi="Times New Roman" w:cs="Times New Roman"/>
          <w:sz w:val="24"/>
          <w:szCs w:val="24"/>
        </w:rPr>
        <w:t xml:space="preserve"> </w:t>
      </w:r>
      <w:r w:rsidR="00E2233F" w:rsidRPr="005C0645">
        <w:rPr>
          <w:rFonts w:ascii="Times New Roman" w:hAnsi="Times New Roman" w:cs="Times New Roman"/>
          <w:sz w:val="24"/>
          <w:szCs w:val="24"/>
        </w:rPr>
        <w:t xml:space="preserve">кладовой запчастей </w:t>
      </w:r>
      <w:r w:rsidR="00090EAB" w:rsidRPr="005C0645">
        <w:rPr>
          <w:rFonts w:ascii="Times New Roman" w:hAnsi="Times New Roman" w:cs="Times New Roman"/>
          <w:sz w:val="24"/>
          <w:szCs w:val="24"/>
        </w:rPr>
        <w:t xml:space="preserve">участка №1 </w:t>
      </w:r>
      <w:r w:rsidR="007F3997" w:rsidRPr="005C0645">
        <w:rPr>
          <w:rFonts w:ascii="Times New Roman" w:hAnsi="Times New Roman" w:cs="Times New Roman"/>
          <w:sz w:val="24"/>
          <w:szCs w:val="24"/>
        </w:rPr>
        <w:t>может соответствовать</w:t>
      </w:r>
      <w:r w:rsidR="00090EAB" w:rsidRPr="005C0645">
        <w:rPr>
          <w:rFonts w:ascii="Times New Roman" w:hAnsi="Times New Roman" w:cs="Times New Roman"/>
          <w:sz w:val="24"/>
          <w:szCs w:val="24"/>
        </w:rPr>
        <w:t xml:space="preserve"> </w:t>
      </w:r>
      <w:r w:rsidR="00E2233F" w:rsidRPr="005C0645">
        <w:rPr>
          <w:rFonts w:ascii="Times New Roman" w:hAnsi="Times New Roman" w:cs="Times New Roman"/>
          <w:sz w:val="24"/>
          <w:szCs w:val="24"/>
        </w:rPr>
        <w:t>категории В3</w:t>
      </w:r>
      <w:r w:rsidR="007F3997" w:rsidRPr="005C0645">
        <w:rPr>
          <w:rFonts w:ascii="Times New Roman" w:hAnsi="Times New Roman" w:cs="Times New Roman"/>
          <w:sz w:val="24"/>
          <w:szCs w:val="24"/>
        </w:rPr>
        <w:t xml:space="preserve">, но так как неравенство </w:t>
      </w:r>
      <w:r w:rsidRPr="005C0645">
        <w:rPr>
          <w:rFonts w:ascii="Times New Roman" w:hAnsi="Times New Roman" w:cs="Times New Roman"/>
          <w:sz w:val="24"/>
          <w:szCs w:val="24"/>
        </w:rPr>
        <w:t>(</w:t>
      </w:r>
      <w:r w:rsidR="007F3997" w:rsidRPr="005C0645">
        <w:rPr>
          <w:rFonts w:ascii="Times New Roman" w:hAnsi="Times New Roman" w:cs="Times New Roman"/>
          <w:sz w:val="24"/>
          <w:szCs w:val="24"/>
        </w:rPr>
        <w:t>4</w:t>
      </w:r>
      <w:r w:rsidRPr="005C0645">
        <w:rPr>
          <w:rFonts w:ascii="Times New Roman" w:hAnsi="Times New Roman" w:cs="Times New Roman"/>
          <w:sz w:val="24"/>
          <w:szCs w:val="24"/>
        </w:rPr>
        <w:t>)</w:t>
      </w:r>
      <w:r w:rsidR="007F3997" w:rsidRPr="005C0645">
        <w:rPr>
          <w:rFonts w:ascii="Times New Roman" w:hAnsi="Times New Roman" w:cs="Times New Roman"/>
          <w:sz w:val="24"/>
          <w:szCs w:val="24"/>
        </w:rPr>
        <w:t xml:space="preserve"> </w:t>
      </w:r>
      <w:r w:rsidRPr="005C0645">
        <w:rPr>
          <w:rFonts w:ascii="Times New Roman" w:hAnsi="Times New Roman" w:cs="Times New Roman"/>
          <w:sz w:val="24"/>
          <w:szCs w:val="24"/>
        </w:rPr>
        <w:t xml:space="preserve">для этого помещения </w:t>
      </w:r>
      <w:r w:rsidR="007F3997" w:rsidRPr="005C0645">
        <w:rPr>
          <w:rFonts w:ascii="Times New Roman" w:hAnsi="Times New Roman" w:cs="Times New Roman"/>
          <w:sz w:val="24"/>
          <w:szCs w:val="24"/>
        </w:rPr>
        <w:t>выполняется, то категория повышается до В</w:t>
      </w:r>
      <w:proofErr w:type="gramStart"/>
      <w:r w:rsidR="007F3997" w:rsidRPr="005C0645">
        <w:rPr>
          <w:rFonts w:ascii="Times New Roman" w:hAnsi="Times New Roman" w:cs="Times New Roman"/>
          <w:sz w:val="24"/>
          <w:szCs w:val="24"/>
        </w:rPr>
        <w:t>2</w:t>
      </w:r>
      <w:proofErr w:type="gramEnd"/>
      <w:r w:rsidR="00E2233F" w:rsidRPr="005C0645">
        <w:rPr>
          <w:rFonts w:ascii="Times New Roman" w:hAnsi="Times New Roman" w:cs="Times New Roman"/>
          <w:sz w:val="24"/>
          <w:szCs w:val="24"/>
        </w:rPr>
        <w:t xml:space="preserve">. </w:t>
      </w:r>
    </w:p>
    <w:p w:rsidR="00194B01" w:rsidRPr="005C0645" w:rsidRDefault="00090EAB" w:rsidP="005C0645">
      <w:pPr>
        <w:spacing w:after="0" w:line="240" w:lineRule="auto"/>
        <w:ind w:firstLine="709"/>
        <w:jc w:val="both"/>
        <w:rPr>
          <w:rFonts w:ascii="Times New Roman" w:hAnsi="Times New Roman" w:cs="Times New Roman"/>
          <w:sz w:val="24"/>
          <w:szCs w:val="24"/>
        </w:rPr>
      </w:pPr>
      <w:r w:rsidRPr="005C0645">
        <w:rPr>
          <w:rFonts w:ascii="Times New Roman" w:hAnsi="Times New Roman" w:cs="Times New Roman"/>
          <w:sz w:val="24"/>
          <w:szCs w:val="24"/>
        </w:rPr>
        <w:t xml:space="preserve">Фактически пожарная нагрузка в цеху участка № 2 распределена равномерно и предельное расстояние между участками нахождения пожарной </w:t>
      </w:r>
      <w:r w:rsidR="007F3997" w:rsidRPr="005C0645">
        <w:rPr>
          <w:rFonts w:ascii="Times New Roman" w:hAnsi="Times New Roman" w:cs="Times New Roman"/>
          <w:sz w:val="24"/>
          <w:szCs w:val="24"/>
        </w:rPr>
        <w:t>также меньше 16 м</w:t>
      </w:r>
      <w:r w:rsidRPr="005C0645">
        <w:rPr>
          <w:rFonts w:ascii="Times New Roman" w:hAnsi="Times New Roman" w:cs="Times New Roman"/>
          <w:sz w:val="24"/>
          <w:szCs w:val="24"/>
        </w:rPr>
        <w:t>.</w:t>
      </w:r>
      <w:r w:rsidR="007F3997" w:rsidRPr="005C0645">
        <w:rPr>
          <w:rFonts w:ascii="Times New Roman" w:hAnsi="Times New Roman" w:cs="Times New Roman"/>
          <w:sz w:val="24"/>
          <w:szCs w:val="24"/>
        </w:rPr>
        <w:t xml:space="preserve"> </w:t>
      </w:r>
      <w:r w:rsidRPr="005C0645">
        <w:rPr>
          <w:rFonts w:ascii="Times New Roman" w:hAnsi="Times New Roman" w:cs="Times New Roman"/>
          <w:sz w:val="24"/>
          <w:szCs w:val="24"/>
        </w:rPr>
        <w:t xml:space="preserve">Относительно участка №2 проверочное условие </w:t>
      </w:r>
      <w:r w:rsidR="007F3997" w:rsidRPr="005C0645">
        <w:rPr>
          <w:rFonts w:ascii="Times New Roman" w:hAnsi="Times New Roman" w:cs="Times New Roman"/>
          <w:sz w:val="24"/>
          <w:szCs w:val="24"/>
        </w:rPr>
        <w:t>также выполняется,</w:t>
      </w:r>
      <w:r w:rsidRPr="005C0645">
        <w:rPr>
          <w:rFonts w:ascii="Times New Roman" w:hAnsi="Times New Roman" w:cs="Times New Roman"/>
          <w:sz w:val="24"/>
          <w:szCs w:val="24"/>
        </w:rPr>
        <w:t xml:space="preserve"> </w:t>
      </w:r>
      <w:r w:rsidR="007F3997" w:rsidRPr="005C0645">
        <w:rPr>
          <w:rFonts w:ascii="Times New Roman" w:hAnsi="Times New Roman" w:cs="Times New Roman"/>
          <w:sz w:val="24"/>
          <w:szCs w:val="24"/>
        </w:rPr>
        <w:t>с</w:t>
      </w:r>
      <w:r w:rsidRPr="005C0645">
        <w:rPr>
          <w:rFonts w:ascii="Times New Roman" w:hAnsi="Times New Roman" w:cs="Times New Roman"/>
          <w:sz w:val="24"/>
          <w:szCs w:val="24"/>
        </w:rPr>
        <w:t>ледовательно, категори</w:t>
      </w:r>
      <w:r w:rsidR="00194B01" w:rsidRPr="005C0645">
        <w:rPr>
          <w:rFonts w:ascii="Times New Roman" w:hAnsi="Times New Roman" w:cs="Times New Roman"/>
          <w:sz w:val="24"/>
          <w:szCs w:val="24"/>
        </w:rPr>
        <w:t xml:space="preserve">я может быть назначена на уровне </w:t>
      </w:r>
      <w:r w:rsidRPr="005C0645">
        <w:rPr>
          <w:rFonts w:ascii="Times New Roman" w:hAnsi="Times New Roman" w:cs="Times New Roman"/>
          <w:sz w:val="24"/>
          <w:szCs w:val="24"/>
        </w:rPr>
        <w:t>В</w:t>
      </w:r>
      <w:proofErr w:type="gramStart"/>
      <w:r w:rsidRPr="005C0645">
        <w:rPr>
          <w:rFonts w:ascii="Times New Roman" w:hAnsi="Times New Roman" w:cs="Times New Roman"/>
          <w:sz w:val="24"/>
          <w:szCs w:val="24"/>
        </w:rPr>
        <w:t>2</w:t>
      </w:r>
      <w:proofErr w:type="gramEnd"/>
      <w:r w:rsidRPr="005C0645">
        <w:rPr>
          <w:rFonts w:ascii="Times New Roman" w:hAnsi="Times New Roman" w:cs="Times New Roman"/>
          <w:sz w:val="24"/>
          <w:szCs w:val="24"/>
        </w:rPr>
        <w:t xml:space="preserve">. </w:t>
      </w:r>
    </w:p>
    <w:p w:rsidR="00090EAB" w:rsidRPr="005C0645" w:rsidRDefault="00A30860" w:rsidP="005C0645">
      <w:pPr>
        <w:spacing w:after="0" w:line="240" w:lineRule="auto"/>
        <w:ind w:firstLine="709"/>
        <w:jc w:val="both"/>
        <w:rPr>
          <w:rFonts w:ascii="Times New Roman" w:hAnsi="Times New Roman" w:cs="Times New Roman"/>
          <w:sz w:val="24"/>
          <w:szCs w:val="24"/>
        </w:rPr>
      </w:pPr>
      <w:r w:rsidRPr="005C0645">
        <w:rPr>
          <w:rFonts w:ascii="Times New Roman" w:hAnsi="Times New Roman" w:cs="Times New Roman"/>
          <w:sz w:val="24"/>
          <w:szCs w:val="24"/>
        </w:rPr>
        <w:t xml:space="preserve">Категория </w:t>
      </w:r>
      <w:proofErr w:type="spellStart"/>
      <w:r w:rsidRPr="005C0645">
        <w:rPr>
          <w:rFonts w:ascii="Times New Roman" w:hAnsi="Times New Roman" w:cs="Times New Roman"/>
          <w:sz w:val="24"/>
          <w:szCs w:val="24"/>
        </w:rPr>
        <w:t>пожаровзрывоопасности</w:t>
      </w:r>
      <w:proofErr w:type="spellEnd"/>
      <w:r w:rsidRPr="005C0645">
        <w:rPr>
          <w:rFonts w:ascii="Times New Roman" w:hAnsi="Times New Roman" w:cs="Times New Roman"/>
          <w:sz w:val="24"/>
          <w:szCs w:val="24"/>
        </w:rPr>
        <w:t xml:space="preserve"> кладовой запчастей участка №2 может соответствовать категории В3, но так как неравенство 4 снова выполняется, то категория повышается до В</w:t>
      </w:r>
      <w:proofErr w:type="gramStart"/>
      <w:r w:rsidRPr="005C0645">
        <w:rPr>
          <w:rFonts w:ascii="Times New Roman" w:hAnsi="Times New Roman" w:cs="Times New Roman"/>
          <w:sz w:val="24"/>
          <w:szCs w:val="24"/>
        </w:rPr>
        <w:t>2</w:t>
      </w:r>
      <w:proofErr w:type="gramEnd"/>
      <w:r w:rsidRPr="005C0645">
        <w:rPr>
          <w:rFonts w:ascii="Times New Roman" w:hAnsi="Times New Roman" w:cs="Times New Roman"/>
          <w:sz w:val="24"/>
          <w:szCs w:val="24"/>
        </w:rPr>
        <w:t>.</w:t>
      </w:r>
    </w:p>
    <w:p w:rsidR="00194B01" w:rsidRPr="005C0645" w:rsidRDefault="00194B01" w:rsidP="005C0645">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C0645">
        <w:rPr>
          <w:rFonts w:ascii="Times New Roman" w:eastAsiaTheme="minorEastAsia" w:hAnsi="Times New Roman" w:cs="Times New Roman"/>
          <w:color w:val="000000" w:themeColor="text1"/>
          <w:sz w:val="24"/>
          <w:szCs w:val="24"/>
          <w:shd w:val="clear" w:color="auto" w:fill="FFFFFF"/>
          <w:lang w:eastAsia="ru-RU"/>
        </w:rPr>
        <w:t>Исходя из приведенных расчетов, п</w:t>
      </w:r>
      <w:r w:rsidR="00A30860" w:rsidRPr="005C0645">
        <w:rPr>
          <w:rFonts w:ascii="Times New Roman" w:eastAsiaTheme="minorEastAsia" w:hAnsi="Times New Roman" w:cs="Times New Roman"/>
          <w:color w:val="000000" w:themeColor="text1"/>
          <w:sz w:val="24"/>
          <w:szCs w:val="24"/>
          <w:shd w:val="clear" w:color="auto" w:fill="FFFFFF"/>
          <w:lang w:eastAsia="ru-RU"/>
        </w:rPr>
        <w:t>роизводственные цеха текстильного производства относятся к помещения</w:t>
      </w:r>
      <w:r w:rsidRPr="005C0645">
        <w:rPr>
          <w:rFonts w:ascii="Times New Roman" w:eastAsiaTheme="minorEastAsia" w:hAnsi="Times New Roman" w:cs="Times New Roman"/>
          <w:color w:val="000000" w:themeColor="text1"/>
          <w:sz w:val="24"/>
          <w:szCs w:val="24"/>
          <w:shd w:val="clear" w:color="auto" w:fill="FFFFFF"/>
          <w:lang w:eastAsia="ru-RU"/>
        </w:rPr>
        <w:t xml:space="preserve">м с высокой пожарной опасностью вследствие </w:t>
      </w:r>
      <w:r w:rsidR="00A30860" w:rsidRPr="005C0645">
        <w:rPr>
          <w:rFonts w:ascii="Times New Roman" w:hAnsi="Times New Roman" w:cs="Times New Roman"/>
          <w:color w:val="000000" w:themeColor="text1"/>
          <w:sz w:val="24"/>
          <w:szCs w:val="24"/>
          <w:shd w:val="clear" w:color="auto" w:fill="FFFFFF"/>
        </w:rPr>
        <w:t>больш</w:t>
      </w:r>
      <w:r w:rsidRPr="005C0645">
        <w:rPr>
          <w:rFonts w:ascii="Times New Roman" w:hAnsi="Times New Roman" w:cs="Times New Roman"/>
          <w:color w:val="000000" w:themeColor="text1"/>
          <w:sz w:val="24"/>
          <w:szCs w:val="24"/>
          <w:shd w:val="clear" w:color="auto" w:fill="FFFFFF"/>
        </w:rPr>
        <w:t xml:space="preserve">ого </w:t>
      </w:r>
      <w:r w:rsidR="00A30860" w:rsidRPr="005C0645">
        <w:rPr>
          <w:rFonts w:ascii="Times New Roman" w:hAnsi="Times New Roman" w:cs="Times New Roman"/>
          <w:color w:val="000000" w:themeColor="text1"/>
          <w:sz w:val="24"/>
          <w:szCs w:val="24"/>
          <w:shd w:val="clear" w:color="auto" w:fill="FFFFFF"/>
        </w:rPr>
        <w:t>количеств</w:t>
      </w:r>
      <w:r w:rsidRPr="005C0645">
        <w:rPr>
          <w:rFonts w:ascii="Times New Roman" w:hAnsi="Times New Roman" w:cs="Times New Roman"/>
          <w:color w:val="000000" w:themeColor="text1"/>
          <w:sz w:val="24"/>
          <w:szCs w:val="24"/>
          <w:shd w:val="clear" w:color="auto" w:fill="FFFFFF"/>
        </w:rPr>
        <w:t xml:space="preserve">а </w:t>
      </w:r>
      <w:r w:rsidR="00A30860" w:rsidRPr="005C0645">
        <w:rPr>
          <w:rFonts w:ascii="Times New Roman" w:hAnsi="Times New Roman" w:cs="Times New Roman"/>
          <w:color w:val="000000" w:themeColor="text1"/>
          <w:sz w:val="24"/>
          <w:szCs w:val="24"/>
          <w:shd w:val="clear" w:color="auto" w:fill="FFFFFF"/>
        </w:rPr>
        <w:t>горючего материала и тепловых источников воспламенения.</w:t>
      </w:r>
      <w:r w:rsidRPr="005C0645">
        <w:rPr>
          <w:rFonts w:ascii="Times New Roman" w:hAnsi="Times New Roman" w:cs="Times New Roman"/>
          <w:color w:val="000000" w:themeColor="text1"/>
          <w:sz w:val="24"/>
          <w:szCs w:val="24"/>
        </w:rPr>
        <w:t xml:space="preserve"> Исходя из полученных данных, р</w:t>
      </w:r>
      <w:r w:rsidR="00A30860" w:rsidRPr="005C0645">
        <w:rPr>
          <w:rFonts w:ascii="Times New Roman" w:hAnsi="Times New Roman" w:cs="Times New Roman"/>
          <w:color w:val="000000" w:themeColor="text1"/>
          <w:sz w:val="24"/>
          <w:szCs w:val="24"/>
        </w:rPr>
        <w:t>екомендуется обратить особое внимание на оборудование помещения це</w:t>
      </w:r>
      <w:r w:rsidR="001E4E2F" w:rsidRPr="005C0645">
        <w:rPr>
          <w:rFonts w:ascii="Times New Roman" w:hAnsi="Times New Roman" w:cs="Times New Roman"/>
          <w:color w:val="000000" w:themeColor="text1"/>
          <w:sz w:val="24"/>
          <w:szCs w:val="24"/>
        </w:rPr>
        <w:t>хов в противопожарном отношении</w:t>
      </w:r>
      <w:r w:rsidR="00A30860" w:rsidRPr="005C0645">
        <w:rPr>
          <w:rFonts w:ascii="Times New Roman" w:hAnsi="Times New Roman" w:cs="Times New Roman"/>
          <w:color w:val="000000" w:themeColor="text1"/>
          <w:sz w:val="24"/>
          <w:szCs w:val="24"/>
        </w:rPr>
        <w:t>.</w:t>
      </w:r>
      <w:bookmarkStart w:id="0" w:name="_Toc516662430"/>
    </w:p>
    <w:p w:rsidR="005C0645" w:rsidRPr="005B1481" w:rsidRDefault="005C0645" w:rsidP="005C0645">
      <w:pPr>
        <w:pStyle w:val="1"/>
        <w:spacing w:before="0" w:line="240" w:lineRule="auto"/>
        <w:ind w:firstLine="709"/>
        <w:jc w:val="center"/>
        <w:rPr>
          <w:rFonts w:ascii="Times New Roman" w:eastAsia="Times New Roman" w:hAnsi="Times New Roman" w:cs="Times New Roman"/>
          <w:b/>
          <w:color w:val="000000" w:themeColor="text1"/>
          <w:sz w:val="24"/>
          <w:szCs w:val="24"/>
          <w:lang w:eastAsia="ru-RU"/>
        </w:rPr>
      </w:pPr>
    </w:p>
    <w:p w:rsidR="001E4E2F" w:rsidRPr="005C0645" w:rsidRDefault="001E4E2F" w:rsidP="005C0645">
      <w:pPr>
        <w:pStyle w:val="1"/>
        <w:spacing w:before="0" w:line="240" w:lineRule="auto"/>
        <w:ind w:firstLine="709"/>
        <w:jc w:val="center"/>
        <w:rPr>
          <w:rFonts w:ascii="Times New Roman" w:eastAsia="Times New Roman" w:hAnsi="Times New Roman" w:cs="Times New Roman"/>
          <w:b/>
          <w:color w:val="000000" w:themeColor="text1"/>
          <w:sz w:val="24"/>
          <w:szCs w:val="24"/>
          <w:lang w:eastAsia="ru-RU"/>
        </w:rPr>
      </w:pPr>
      <w:r w:rsidRPr="005C0645">
        <w:rPr>
          <w:rFonts w:ascii="Times New Roman" w:eastAsia="Times New Roman" w:hAnsi="Times New Roman" w:cs="Times New Roman"/>
          <w:b/>
          <w:color w:val="000000" w:themeColor="text1"/>
          <w:sz w:val="24"/>
          <w:szCs w:val="24"/>
          <w:lang w:eastAsia="ru-RU"/>
        </w:rPr>
        <w:t>Список литературы</w:t>
      </w:r>
      <w:bookmarkEnd w:id="0"/>
    </w:p>
    <w:p w:rsidR="00194B01" w:rsidRPr="005C0645" w:rsidRDefault="00194B01" w:rsidP="005C0645">
      <w:pPr>
        <w:spacing w:after="0" w:line="240" w:lineRule="auto"/>
        <w:ind w:firstLine="709"/>
        <w:jc w:val="both"/>
        <w:rPr>
          <w:rFonts w:ascii="Times New Roman" w:hAnsi="Times New Roman" w:cs="Times New Roman"/>
          <w:sz w:val="24"/>
          <w:szCs w:val="24"/>
        </w:rPr>
      </w:pPr>
      <w:r w:rsidRPr="005C0645">
        <w:rPr>
          <w:rFonts w:ascii="Times New Roman" w:eastAsia="Times New Roman" w:hAnsi="Times New Roman" w:cs="Times New Roman"/>
          <w:color w:val="000000"/>
          <w:sz w:val="24"/>
          <w:szCs w:val="24"/>
          <w:lang w:eastAsia="ru-RU"/>
        </w:rPr>
        <w:t xml:space="preserve">1. </w:t>
      </w:r>
      <w:r w:rsidR="001E4E2F" w:rsidRPr="005C0645">
        <w:rPr>
          <w:rFonts w:ascii="Times New Roman" w:eastAsia="Times New Roman" w:hAnsi="Times New Roman" w:cs="Times New Roman"/>
          <w:color w:val="000000"/>
          <w:sz w:val="24"/>
          <w:szCs w:val="24"/>
          <w:lang w:eastAsia="ru-RU"/>
        </w:rPr>
        <w:t>СП 12.13130.2009 Определение категорий помещений, зданий и наружных установок по взрывопожарной и пожарной опасности</w:t>
      </w:r>
      <w:r w:rsidRPr="005C0645">
        <w:rPr>
          <w:rFonts w:ascii="Times New Roman" w:eastAsia="Times New Roman" w:hAnsi="Times New Roman" w:cs="Times New Roman"/>
          <w:color w:val="000000"/>
          <w:sz w:val="24"/>
          <w:szCs w:val="24"/>
          <w:lang w:eastAsia="ru-RU"/>
        </w:rPr>
        <w:t xml:space="preserve"> [Текст] / кол</w:t>
      </w:r>
      <w:proofErr w:type="gramStart"/>
      <w:r w:rsidRPr="005C0645">
        <w:rPr>
          <w:rFonts w:ascii="Times New Roman" w:eastAsia="Times New Roman" w:hAnsi="Times New Roman" w:cs="Times New Roman"/>
          <w:color w:val="000000"/>
          <w:sz w:val="24"/>
          <w:szCs w:val="24"/>
          <w:lang w:eastAsia="ru-RU"/>
        </w:rPr>
        <w:t>.</w:t>
      </w:r>
      <w:proofErr w:type="gramEnd"/>
      <w:r w:rsidRPr="005C0645">
        <w:rPr>
          <w:rFonts w:ascii="Times New Roman" w:eastAsia="Times New Roman" w:hAnsi="Times New Roman" w:cs="Times New Roman"/>
          <w:color w:val="000000"/>
          <w:sz w:val="24"/>
          <w:szCs w:val="24"/>
          <w:lang w:eastAsia="ru-RU"/>
        </w:rPr>
        <w:t xml:space="preserve"> </w:t>
      </w:r>
      <w:proofErr w:type="gramStart"/>
      <w:r w:rsidRPr="005C0645">
        <w:rPr>
          <w:rFonts w:ascii="Times New Roman" w:eastAsia="Times New Roman" w:hAnsi="Times New Roman" w:cs="Times New Roman"/>
          <w:color w:val="000000"/>
          <w:sz w:val="24"/>
          <w:szCs w:val="24"/>
          <w:lang w:eastAsia="ru-RU"/>
        </w:rPr>
        <w:t>а</w:t>
      </w:r>
      <w:proofErr w:type="gramEnd"/>
      <w:r w:rsidRPr="005C0645">
        <w:rPr>
          <w:rFonts w:ascii="Times New Roman" w:eastAsia="Times New Roman" w:hAnsi="Times New Roman" w:cs="Times New Roman"/>
          <w:color w:val="000000"/>
          <w:sz w:val="24"/>
          <w:szCs w:val="24"/>
          <w:lang w:eastAsia="ru-RU"/>
        </w:rPr>
        <w:t xml:space="preserve">второв // </w:t>
      </w:r>
      <w:r w:rsidR="001E4E2F" w:rsidRPr="005C0645">
        <w:rPr>
          <w:rFonts w:ascii="Times New Roman" w:hAnsi="Times New Roman" w:cs="Times New Roman"/>
          <w:sz w:val="24"/>
          <w:szCs w:val="24"/>
        </w:rPr>
        <w:t xml:space="preserve"> </w:t>
      </w:r>
      <w:r w:rsidRPr="005C0645">
        <w:rPr>
          <w:rFonts w:ascii="Times New Roman" w:hAnsi="Times New Roman" w:cs="Times New Roman"/>
          <w:sz w:val="24"/>
          <w:szCs w:val="24"/>
        </w:rPr>
        <w:t xml:space="preserve">М.: ФГУ ВНИИПО МЧС России. – 2009 – 35 с. </w:t>
      </w:r>
    </w:p>
    <w:p w:rsidR="005C0645" w:rsidRPr="005C0645" w:rsidRDefault="00194B01" w:rsidP="005C0645">
      <w:pPr>
        <w:spacing w:after="0" w:line="240" w:lineRule="auto"/>
        <w:ind w:firstLine="709"/>
        <w:jc w:val="both"/>
        <w:rPr>
          <w:rFonts w:ascii="Times New Roman" w:hAnsi="Times New Roman" w:cs="Times New Roman"/>
          <w:sz w:val="24"/>
          <w:szCs w:val="24"/>
        </w:rPr>
      </w:pPr>
      <w:r w:rsidRPr="005C0645">
        <w:rPr>
          <w:rFonts w:ascii="Times New Roman" w:hAnsi="Times New Roman" w:cs="Times New Roman"/>
          <w:sz w:val="24"/>
          <w:szCs w:val="24"/>
        </w:rPr>
        <w:t xml:space="preserve">2. </w:t>
      </w:r>
      <w:r w:rsidR="00CC72A9" w:rsidRPr="005C0645">
        <w:rPr>
          <w:rFonts w:ascii="Times New Roman" w:hAnsi="Times New Roman" w:cs="Times New Roman"/>
          <w:sz w:val="24"/>
          <w:szCs w:val="24"/>
        </w:rPr>
        <w:t>НПБ 105-03  Определение категорий помещений, зданий  и  наружных установок по взры</w:t>
      </w:r>
      <w:r w:rsidR="00332BF0">
        <w:rPr>
          <w:rFonts w:ascii="Times New Roman" w:hAnsi="Times New Roman" w:cs="Times New Roman"/>
          <w:sz w:val="24"/>
          <w:szCs w:val="24"/>
        </w:rPr>
        <w:t xml:space="preserve">вопожарной и пожарной опасности </w:t>
      </w:r>
      <w:r w:rsidR="00332BF0" w:rsidRPr="005C0645">
        <w:rPr>
          <w:rFonts w:ascii="Times New Roman" w:eastAsia="Times New Roman" w:hAnsi="Times New Roman" w:cs="Times New Roman"/>
          <w:color w:val="000000"/>
          <w:sz w:val="24"/>
          <w:szCs w:val="24"/>
          <w:lang w:eastAsia="ru-RU"/>
        </w:rPr>
        <w:t>[Текст] / кол</w:t>
      </w:r>
      <w:proofErr w:type="gramStart"/>
      <w:r w:rsidR="00332BF0" w:rsidRPr="005C0645">
        <w:rPr>
          <w:rFonts w:ascii="Times New Roman" w:eastAsia="Times New Roman" w:hAnsi="Times New Roman" w:cs="Times New Roman"/>
          <w:color w:val="000000"/>
          <w:sz w:val="24"/>
          <w:szCs w:val="24"/>
          <w:lang w:eastAsia="ru-RU"/>
        </w:rPr>
        <w:t>.</w:t>
      </w:r>
      <w:proofErr w:type="gramEnd"/>
      <w:r w:rsidR="00332BF0" w:rsidRPr="005C0645">
        <w:rPr>
          <w:rFonts w:ascii="Times New Roman" w:eastAsia="Times New Roman" w:hAnsi="Times New Roman" w:cs="Times New Roman"/>
          <w:color w:val="000000"/>
          <w:sz w:val="24"/>
          <w:szCs w:val="24"/>
          <w:lang w:eastAsia="ru-RU"/>
        </w:rPr>
        <w:t xml:space="preserve"> </w:t>
      </w:r>
      <w:proofErr w:type="gramStart"/>
      <w:r w:rsidR="00332BF0" w:rsidRPr="005C0645">
        <w:rPr>
          <w:rFonts w:ascii="Times New Roman" w:eastAsia="Times New Roman" w:hAnsi="Times New Roman" w:cs="Times New Roman"/>
          <w:color w:val="000000"/>
          <w:sz w:val="24"/>
          <w:szCs w:val="24"/>
          <w:lang w:eastAsia="ru-RU"/>
        </w:rPr>
        <w:t>а</w:t>
      </w:r>
      <w:proofErr w:type="gramEnd"/>
      <w:r w:rsidR="00332BF0" w:rsidRPr="005C0645">
        <w:rPr>
          <w:rFonts w:ascii="Times New Roman" w:eastAsia="Times New Roman" w:hAnsi="Times New Roman" w:cs="Times New Roman"/>
          <w:color w:val="000000"/>
          <w:sz w:val="24"/>
          <w:szCs w:val="24"/>
          <w:lang w:eastAsia="ru-RU"/>
        </w:rPr>
        <w:t xml:space="preserve">второв // </w:t>
      </w:r>
      <w:r w:rsidR="00332BF0" w:rsidRPr="005C0645">
        <w:rPr>
          <w:rFonts w:ascii="Times New Roman" w:hAnsi="Times New Roman" w:cs="Times New Roman"/>
          <w:sz w:val="24"/>
          <w:szCs w:val="24"/>
        </w:rPr>
        <w:t xml:space="preserve"> М.: ФГУ ВНИИПО МЧС России. – 200</w:t>
      </w:r>
      <w:r w:rsidR="00332BF0">
        <w:rPr>
          <w:rFonts w:ascii="Times New Roman" w:hAnsi="Times New Roman" w:cs="Times New Roman"/>
          <w:sz w:val="24"/>
          <w:szCs w:val="24"/>
        </w:rPr>
        <w:t>3 – 47</w:t>
      </w:r>
      <w:r w:rsidR="00332BF0" w:rsidRPr="005C0645">
        <w:rPr>
          <w:rFonts w:ascii="Times New Roman" w:hAnsi="Times New Roman" w:cs="Times New Roman"/>
          <w:sz w:val="24"/>
          <w:szCs w:val="24"/>
        </w:rPr>
        <w:t xml:space="preserve"> с.</w:t>
      </w:r>
    </w:p>
    <w:p w:rsidR="00C07E5B" w:rsidRPr="005C0645" w:rsidRDefault="00FE27D2" w:rsidP="005C06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3433A" w:rsidRPr="005C0645">
        <w:rPr>
          <w:rFonts w:ascii="Times New Roman" w:hAnsi="Times New Roman" w:cs="Times New Roman"/>
          <w:sz w:val="24"/>
          <w:szCs w:val="24"/>
        </w:rPr>
        <w:t>.</w:t>
      </w:r>
      <w:r w:rsidR="005C0645" w:rsidRPr="005C0645">
        <w:rPr>
          <w:rFonts w:ascii="Times New Roman" w:hAnsi="Times New Roman" w:cs="Times New Roman"/>
          <w:sz w:val="24"/>
          <w:szCs w:val="24"/>
        </w:rPr>
        <w:t xml:space="preserve"> </w:t>
      </w:r>
      <w:r w:rsidR="0043433A" w:rsidRPr="005C0645">
        <w:rPr>
          <w:rFonts w:ascii="Times New Roman" w:hAnsi="Times New Roman" w:cs="Times New Roman"/>
          <w:sz w:val="24"/>
          <w:szCs w:val="24"/>
        </w:rPr>
        <w:t>Щербакова, Е. В.</w:t>
      </w:r>
      <w:r w:rsidR="00B51915" w:rsidRPr="005C0645">
        <w:rPr>
          <w:rFonts w:ascii="Times New Roman" w:hAnsi="Times New Roman" w:cs="Times New Roman"/>
          <w:sz w:val="24"/>
          <w:szCs w:val="24"/>
        </w:rPr>
        <w:t xml:space="preserve"> </w:t>
      </w:r>
      <w:r w:rsidR="0043433A" w:rsidRPr="005C0645">
        <w:rPr>
          <w:rFonts w:ascii="Times New Roman" w:hAnsi="Times New Roman" w:cs="Times New Roman"/>
          <w:sz w:val="24"/>
          <w:szCs w:val="24"/>
        </w:rPr>
        <w:t>Определение взрывопожарной опасности промышленных предприятий</w:t>
      </w:r>
      <w:proofErr w:type="gramStart"/>
      <w:r w:rsidR="0043433A" w:rsidRPr="005C0645">
        <w:rPr>
          <w:rFonts w:ascii="Times New Roman" w:hAnsi="Times New Roman" w:cs="Times New Roman"/>
          <w:sz w:val="24"/>
          <w:szCs w:val="24"/>
        </w:rPr>
        <w:t xml:space="preserve"> :</w:t>
      </w:r>
      <w:proofErr w:type="gramEnd"/>
      <w:r w:rsidR="0043433A" w:rsidRPr="005C0645">
        <w:rPr>
          <w:rFonts w:ascii="Times New Roman" w:hAnsi="Times New Roman" w:cs="Times New Roman"/>
          <w:sz w:val="24"/>
          <w:szCs w:val="24"/>
        </w:rPr>
        <w:t xml:space="preserve"> учебно-метод. пособие / Елена Виктор</w:t>
      </w:r>
      <w:r w:rsidR="00B51915" w:rsidRPr="005C0645">
        <w:rPr>
          <w:rFonts w:ascii="Times New Roman" w:hAnsi="Times New Roman" w:cs="Times New Roman"/>
          <w:sz w:val="24"/>
          <w:szCs w:val="24"/>
        </w:rPr>
        <w:t xml:space="preserve">овна Щербакова ; А. Г. </w:t>
      </w:r>
      <w:proofErr w:type="spellStart"/>
      <w:r w:rsidR="00B51915" w:rsidRPr="005C0645">
        <w:rPr>
          <w:rFonts w:ascii="Times New Roman" w:hAnsi="Times New Roman" w:cs="Times New Roman"/>
          <w:sz w:val="24"/>
          <w:szCs w:val="24"/>
        </w:rPr>
        <w:t>Шушпанов</w:t>
      </w:r>
      <w:proofErr w:type="spellEnd"/>
      <w:r w:rsidR="0043433A" w:rsidRPr="005C0645">
        <w:rPr>
          <w:rFonts w:ascii="Times New Roman" w:hAnsi="Times New Roman" w:cs="Times New Roman"/>
          <w:sz w:val="24"/>
          <w:szCs w:val="24"/>
        </w:rPr>
        <w:t>. - Орел</w:t>
      </w:r>
      <w:proofErr w:type="gramStart"/>
      <w:r w:rsidR="0043433A" w:rsidRPr="005C0645">
        <w:rPr>
          <w:rFonts w:ascii="Times New Roman" w:hAnsi="Times New Roman" w:cs="Times New Roman"/>
          <w:sz w:val="24"/>
          <w:szCs w:val="24"/>
        </w:rPr>
        <w:t xml:space="preserve"> :</w:t>
      </w:r>
      <w:proofErr w:type="gramEnd"/>
      <w:r w:rsidR="0043433A" w:rsidRPr="005C0645">
        <w:rPr>
          <w:rFonts w:ascii="Times New Roman" w:hAnsi="Times New Roman" w:cs="Times New Roman"/>
          <w:sz w:val="24"/>
          <w:szCs w:val="24"/>
        </w:rPr>
        <w:t xml:space="preserve"> Изд-во </w:t>
      </w:r>
      <w:proofErr w:type="spellStart"/>
      <w:r w:rsidR="0043433A" w:rsidRPr="005C0645">
        <w:rPr>
          <w:rFonts w:ascii="Times New Roman" w:hAnsi="Times New Roman" w:cs="Times New Roman"/>
          <w:sz w:val="24"/>
          <w:szCs w:val="24"/>
        </w:rPr>
        <w:t>ОрелГТУ</w:t>
      </w:r>
      <w:proofErr w:type="spellEnd"/>
      <w:r w:rsidR="0043433A" w:rsidRPr="005C0645">
        <w:rPr>
          <w:rFonts w:ascii="Times New Roman" w:hAnsi="Times New Roman" w:cs="Times New Roman"/>
          <w:sz w:val="24"/>
          <w:szCs w:val="24"/>
        </w:rPr>
        <w:t xml:space="preserve"> , 2007 </w:t>
      </w:r>
      <w:hyperlink r:id="rId7" w:history="1">
        <w:r w:rsidR="0043433A" w:rsidRPr="005C0645">
          <w:rPr>
            <w:rStyle w:val="a9"/>
            <w:rFonts w:ascii="Times New Roman" w:hAnsi="Times New Roman" w:cs="Times New Roman"/>
            <w:sz w:val="24"/>
            <w:szCs w:val="24"/>
          </w:rPr>
          <w:t>http://elib.oreluniver.ru/metodicheskie-ukazaniya/opredelenie-vzryvopozharnoj-opasnosti-pr.html</w:t>
        </w:r>
      </w:hyperlink>
    </w:p>
    <w:p w:rsidR="005C0645" w:rsidRPr="005C0645" w:rsidRDefault="00F0016C" w:rsidP="005C0645">
      <w:pPr>
        <w:pStyle w:val="a8"/>
        <w:spacing w:before="0" w:beforeAutospacing="0" w:after="0" w:afterAutospacing="0"/>
        <w:jc w:val="both"/>
      </w:pPr>
      <w:r>
        <w:br/>
      </w:r>
      <w:bookmarkStart w:id="1" w:name="_GoBack"/>
      <w:bookmarkEnd w:id="1"/>
    </w:p>
    <w:p w:rsidR="005C0645" w:rsidRPr="005C0645" w:rsidRDefault="005C0645" w:rsidP="005C0645">
      <w:pPr>
        <w:pStyle w:val="a8"/>
        <w:spacing w:before="0" w:beforeAutospacing="0" w:after="0" w:afterAutospacing="0"/>
        <w:jc w:val="center"/>
        <w:rPr>
          <w:lang w:val="en-US"/>
        </w:rPr>
      </w:pPr>
      <w:r w:rsidRPr="005C0645">
        <w:rPr>
          <w:lang w:val="en-US"/>
        </w:rPr>
        <w:lastRenderedPageBreak/>
        <w:t>A.P. GOLANOVA, A.V. ABRAMOV, N.N. MALAKHOV, I.S. FADEEV</w:t>
      </w:r>
    </w:p>
    <w:p w:rsidR="005C0645" w:rsidRPr="005C0645" w:rsidRDefault="005C0645" w:rsidP="005C0645">
      <w:pPr>
        <w:pStyle w:val="a8"/>
        <w:spacing w:before="0" w:beforeAutospacing="0" w:after="0" w:afterAutospacing="0"/>
        <w:jc w:val="center"/>
        <w:rPr>
          <w:lang w:val="en-US"/>
        </w:rPr>
      </w:pPr>
    </w:p>
    <w:p w:rsidR="005C0645" w:rsidRPr="005B1481" w:rsidRDefault="005C0645" w:rsidP="005C0645">
      <w:pPr>
        <w:pStyle w:val="a8"/>
        <w:spacing w:before="0" w:beforeAutospacing="0" w:after="0" w:afterAutospacing="0"/>
        <w:jc w:val="center"/>
        <w:rPr>
          <w:b/>
          <w:i/>
          <w:lang w:val="en-US"/>
        </w:rPr>
      </w:pPr>
      <w:r w:rsidRPr="005C0645">
        <w:rPr>
          <w:b/>
          <w:i/>
          <w:lang w:val="en-US"/>
        </w:rPr>
        <w:t>ESTIMATION OF SUSTAINABILITY OF FUNCTIONING OF THE ENTERPRISE OF LIGHT INDUSTRY</w:t>
      </w:r>
    </w:p>
    <w:p w:rsidR="005C0645" w:rsidRPr="005C0645" w:rsidRDefault="005C0645" w:rsidP="005C0645">
      <w:pPr>
        <w:pStyle w:val="a8"/>
        <w:spacing w:before="0" w:beforeAutospacing="0" w:after="0" w:afterAutospacing="0"/>
        <w:ind w:firstLine="709"/>
        <w:jc w:val="both"/>
        <w:rPr>
          <w:i/>
          <w:lang w:val="en-US"/>
        </w:rPr>
      </w:pPr>
      <w:r w:rsidRPr="005C0645">
        <w:rPr>
          <w:b/>
          <w:i/>
          <w:lang w:val="en-US"/>
        </w:rPr>
        <w:t>Annotation:</w:t>
      </w:r>
      <w:r w:rsidRPr="005C0645">
        <w:rPr>
          <w:i/>
          <w:lang w:val="en-US"/>
        </w:rPr>
        <w:t xml:space="preserve"> Some aspects of ensuring the fire safety of textile enterprises are considered. It is shown that the main scientific planning is the assessment of the fire situation in workshops. The results of the assessment carried out on the example of one of the textile enterprises of the </w:t>
      </w:r>
      <w:proofErr w:type="spellStart"/>
      <w:r w:rsidRPr="005C0645">
        <w:rPr>
          <w:i/>
          <w:lang w:val="en-US"/>
        </w:rPr>
        <w:t>Oryol</w:t>
      </w:r>
      <w:proofErr w:type="spellEnd"/>
      <w:r w:rsidRPr="005C0645">
        <w:rPr>
          <w:i/>
          <w:lang w:val="en-US"/>
        </w:rPr>
        <w:t xml:space="preserve"> region are presented. The fire load parameters were calculated, the category of premises for fire and explosion hazard was determined.</w:t>
      </w:r>
    </w:p>
    <w:p w:rsidR="005C0645" w:rsidRPr="005C0645" w:rsidRDefault="005C0645" w:rsidP="005C0645">
      <w:pPr>
        <w:pStyle w:val="a8"/>
        <w:spacing w:before="0" w:beforeAutospacing="0" w:after="0" w:afterAutospacing="0"/>
        <w:ind w:firstLine="709"/>
        <w:jc w:val="both"/>
        <w:rPr>
          <w:i/>
          <w:lang w:val="en-US"/>
        </w:rPr>
      </w:pPr>
      <w:r w:rsidRPr="005C0645">
        <w:rPr>
          <w:b/>
          <w:i/>
          <w:lang w:val="en-US"/>
        </w:rPr>
        <w:t>Key words</w:t>
      </w:r>
      <w:r w:rsidRPr="005C0645">
        <w:rPr>
          <w:i/>
          <w:lang w:val="en-US"/>
        </w:rPr>
        <w:t>: textile industry, fire load, fire and explosion hazard category.</w:t>
      </w:r>
    </w:p>
    <w:sectPr w:rsidR="005C0645" w:rsidRPr="005C0645" w:rsidSect="00456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01A"/>
    <w:multiLevelType w:val="hybridMultilevel"/>
    <w:tmpl w:val="813E962E"/>
    <w:lvl w:ilvl="0" w:tplc="1DA008B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B1EA5"/>
    <w:multiLevelType w:val="hybridMultilevel"/>
    <w:tmpl w:val="18E449A0"/>
    <w:lvl w:ilvl="0" w:tplc="A57ACA6C">
      <w:start w:val="1"/>
      <w:numFmt w:val="decimal"/>
      <w:suff w:val="space"/>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86314F"/>
    <w:multiLevelType w:val="hybridMultilevel"/>
    <w:tmpl w:val="0396E562"/>
    <w:lvl w:ilvl="0" w:tplc="4F389E78">
      <w:start w:val="1"/>
      <w:numFmt w:val="bullet"/>
      <w:lvlText w:val="-"/>
      <w:lvlJc w:val="left"/>
      <w:pPr>
        <w:ind w:left="341" w:hanging="360"/>
      </w:pPr>
      <w:rPr>
        <w:rFonts w:ascii="Times New Roman" w:eastAsiaTheme="minorHAnsi" w:hAnsi="Times New Roman" w:cs="Times New Roman" w:hint="default"/>
      </w:rPr>
    </w:lvl>
    <w:lvl w:ilvl="1" w:tplc="04190003" w:tentative="1">
      <w:start w:val="1"/>
      <w:numFmt w:val="bullet"/>
      <w:lvlText w:val="o"/>
      <w:lvlJc w:val="left"/>
      <w:pPr>
        <w:ind w:left="1061" w:hanging="360"/>
      </w:pPr>
      <w:rPr>
        <w:rFonts w:ascii="Courier New" w:hAnsi="Courier New" w:cs="Courier New" w:hint="default"/>
      </w:rPr>
    </w:lvl>
    <w:lvl w:ilvl="2" w:tplc="04190005" w:tentative="1">
      <w:start w:val="1"/>
      <w:numFmt w:val="bullet"/>
      <w:lvlText w:val=""/>
      <w:lvlJc w:val="left"/>
      <w:pPr>
        <w:ind w:left="1781" w:hanging="360"/>
      </w:pPr>
      <w:rPr>
        <w:rFonts w:ascii="Wingdings" w:hAnsi="Wingdings" w:hint="default"/>
      </w:rPr>
    </w:lvl>
    <w:lvl w:ilvl="3" w:tplc="04190001" w:tentative="1">
      <w:start w:val="1"/>
      <w:numFmt w:val="bullet"/>
      <w:lvlText w:val=""/>
      <w:lvlJc w:val="left"/>
      <w:pPr>
        <w:ind w:left="2501" w:hanging="360"/>
      </w:pPr>
      <w:rPr>
        <w:rFonts w:ascii="Symbol" w:hAnsi="Symbol" w:hint="default"/>
      </w:rPr>
    </w:lvl>
    <w:lvl w:ilvl="4" w:tplc="04190003" w:tentative="1">
      <w:start w:val="1"/>
      <w:numFmt w:val="bullet"/>
      <w:lvlText w:val="o"/>
      <w:lvlJc w:val="left"/>
      <w:pPr>
        <w:ind w:left="3221" w:hanging="360"/>
      </w:pPr>
      <w:rPr>
        <w:rFonts w:ascii="Courier New" w:hAnsi="Courier New" w:cs="Courier New" w:hint="default"/>
      </w:rPr>
    </w:lvl>
    <w:lvl w:ilvl="5" w:tplc="04190005" w:tentative="1">
      <w:start w:val="1"/>
      <w:numFmt w:val="bullet"/>
      <w:lvlText w:val=""/>
      <w:lvlJc w:val="left"/>
      <w:pPr>
        <w:ind w:left="3941" w:hanging="360"/>
      </w:pPr>
      <w:rPr>
        <w:rFonts w:ascii="Wingdings" w:hAnsi="Wingdings" w:hint="default"/>
      </w:rPr>
    </w:lvl>
    <w:lvl w:ilvl="6" w:tplc="04190001" w:tentative="1">
      <w:start w:val="1"/>
      <w:numFmt w:val="bullet"/>
      <w:lvlText w:val=""/>
      <w:lvlJc w:val="left"/>
      <w:pPr>
        <w:ind w:left="4661" w:hanging="360"/>
      </w:pPr>
      <w:rPr>
        <w:rFonts w:ascii="Symbol" w:hAnsi="Symbol" w:hint="default"/>
      </w:rPr>
    </w:lvl>
    <w:lvl w:ilvl="7" w:tplc="04190003" w:tentative="1">
      <w:start w:val="1"/>
      <w:numFmt w:val="bullet"/>
      <w:lvlText w:val="o"/>
      <w:lvlJc w:val="left"/>
      <w:pPr>
        <w:ind w:left="5381" w:hanging="360"/>
      </w:pPr>
      <w:rPr>
        <w:rFonts w:ascii="Courier New" w:hAnsi="Courier New" w:cs="Courier New" w:hint="default"/>
      </w:rPr>
    </w:lvl>
    <w:lvl w:ilvl="8" w:tplc="04190005" w:tentative="1">
      <w:start w:val="1"/>
      <w:numFmt w:val="bullet"/>
      <w:lvlText w:val=""/>
      <w:lvlJc w:val="left"/>
      <w:pPr>
        <w:ind w:left="610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07E5B"/>
    <w:rsid w:val="00044E2F"/>
    <w:rsid w:val="000722ED"/>
    <w:rsid w:val="00090EAB"/>
    <w:rsid w:val="00095E04"/>
    <w:rsid w:val="000A1B28"/>
    <w:rsid w:val="000D5340"/>
    <w:rsid w:val="00101828"/>
    <w:rsid w:val="001060FD"/>
    <w:rsid w:val="0018674A"/>
    <w:rsid w:val="00186C12"/>
    <w:rsid w:val="00194B01"/>
    <w:rsid w:val="001C5C13"/>
    <w:rsid w:val="001E2F8D"/>
    <w:rsid w:val="001E4E2F"/>
    <w:rsid w:val="001F4B02"/>
    <w:rsid w:val="00215FF7"/>
    <w:rsid w:val="00332BF0"/>
    <w:rsid w:val="003A6A0B"/>
    <w:rsid w:val="0043433A"/>
    <w:rsid w:val="004401B4"/>
    <w:rsid w:val="00456D41"/>
    <w:rsid w:val="004D0263"/>
    <w:rsid w:val="00551532"/>
    <w:rsid w:val="00580A8C"/>
    <w:rsid w:val="00590ED6"/>
    <w:rsid w:val="005B1481"/>
    <w:rsid w:val="005C0645"/>
    <w:rsid w:val="005D2CAD"/>
    <w:rsid w:val="006A3EC3"/>
    <w:rsid w:val="006E1577"/>
    <w:rsid w:val="006F29AE"/>
    <w:rsid w:val="00763D3B"/>
    <w:rsid w:val="0076655D"/>
    <w:rsid w:val="007D666F"/>
    <w:rsid w:val="007F3997"/>
    <w:rsid w:val="008322E7"/>
    <w:rsid w:val="008437B5"/>
    <w:rsid w:val="008D4068"/>
    <w:rsid w:val="00921014"/>
    <w:rsid w:val="00941EBB"/>
    <w:rsid w:val="009A5904"/>
    <w:rsid w:val="00A30860"/>
    <w:rsid w:val="00A54204"/>
    <w:rsid w:val="00AC5734"/>
    <w:rsid w:val="00AD7EEE"/>
    <w:rsid w:val="00AF13D8"/>
    <w:rsid w:val="00AF3109"/>
    <w:rsid w:val="00AF35FE"/>
    <w:rsid w:val="00B51915"/>
    <w:rsid w:val="00B67DE3"/>
    <w:rsid w:val="00B921CB"/>
    <w:rsid w:val="00BB3869"/>
    <w:rsid w:val="00BB38E6"/>
    <w:rsid w:val="00BD2DEF"/>
    <w:rsid w:val="00C07E5B"/>
    <w:rsid w:val="00C145C8"/>
    <w:rsid w:val="00CA573F"/>
    <w:rsid w:val="00CC72A9"/>
    <w:rsid w:val="00E143F5"/>
    <w:rsid w:val="00E2233F"/>
    <w:rsid w:val="00EB3C2E"/>
    <w:rsid w:val="00EF303C"/>
    <w:rsid w:val="00F0016C"/>
    <w:rsid w:val="00F211E9"/>
    <w:rsid w:val="00F2439A"/>
    <w:rsid w:val="00F336C2"/>
    <w:rsid w:val="00F65F74"/>
    <w:rsid w:val="00F960B0"/>
    <w:rsid w:val="00FE2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41"/>
  </w:style>
  <w:style w:type="paragraph" w:styleId="1">
    <w:name w:val="heading 1"/>
    <w:basedOn w:val="a"/>
    <w:next w:val="a"/>
    <w:link w:val="10"/>
    <w:qFormat/>
    <w:rsid w:val="001E4E2F"/>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7E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7E5B"/>
    <w:rPr>
      <w:rFonts w:ascii="Tahoma" w:hAnsi="Tahoma" w:cs="Tahoma"/>
      <w:sz w:val="16"/>
      <w:szCs w:val="16"/>
    </w:rPr>
  </w:style>
  <w:style w:type="table" w:styleId="a5">
    <w:name w:val="Table Grid"/>
    <w:basedOn w:val="a1"/>
    <w:uiPriority w:val="59"/>
    <w:rsid w:val="008D40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EF3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Placeholder Text"/>
    <w:basedOn w:val="a0"/>
    <w:uiPriority w:val="99"/>
    <w:semiHidden/>
    <w:rsid w:val="0018674A"/>
    <w:rPr>
      <w:color w:val="808080"/>
    </w:rPr>
  </w:style>
  <w:style w:type="table" w:customStyle="1" w:styleId="11">
    <w:name w:val="Сетка таблицы1"/>
    <w:basedOn w:val="a1"/>
    <w:next w:val="a5"/>
    <w:uiPriority w:val="59"/>
    <w:rsid w:val="00941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941EBB"/>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941EBB"/>
    <w:pPr>
      <w:widowControl w:val="0"/>
      <w:shd w:val="clear" w:color="auto" w:fill="FFFFFF"/>
      <w:spacing w:after="0" w:line="322" w:lineRule="exact"/>
      <w:jc w:val="both"/>
    </w:pPr>
    <w:rPr>
      <w:rFonts w:ascii="Times New Roman" w:eastAsia="Times New Roman" w:hAnsi="Times New Roman" w:cs="Times New Roman"/>
      <w:sz w:val="28"/>
      <w:szCs w:val="28"/>
    </w:rPr>
  </w:style>
  <w:style w:type="character" w:customStyle="1" w:styleId="Bodytext2Italic">
    <w:name w:val="Body text (2) + Italic"/>
    <w:basedOn w:val="Bodytext2"/>
    <w:rsid w:val="00941EB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styleId="a7">
    <w:name w:val="List Paragraph"/>
    <w:basedOn w:val="a"/>
    <w:uiPriority w:val="34"/>
    <w:qFormat/>
    <w:rsid w:val="00921014"/>
    <w:pPr>
      <w:ind w:left="720"/>
      <w:contextualSpacing/>
    </w:pPr>
  </w:style>
  <w:style w:type="character" w:customStyle="1" w:styleId="10">
    <w:name w:val="Заголовок 1 Знак"/>
    <w:basedOn w:val="a0"/>
    <w:link w:val="1"/>
    <w:rsid w:val="001E4E2F"/>
    <w:rPr>
      <w:rFonts w:asciiTheme="majorHAnsi" w:eastAsiaTheme="majorEastAsia" w:hAnsiTheme="majorHAnsi" w:cstheme="majorBidi"/>
      <w:color w:val="365F91" w:themeColor="accent1" w:themeShade="BF"/>
      <w:sz w:val="32"/>
      <w:szCs w:val="32"/>
    </w:rPr>
  </w:style>
  <w:style w:type="paragraph" w:styleId="a8">
    <w:name w:val="Normal (Web)"/>
    <w:basedOn w:val="a"/>
    <w:uiPriority w:val="99"/>
    <w:unhideWhenUsed/>
    <w:rsid w:val="00434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4343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5152">
      <w:bodyDiv w:val="1"/>
      <w:marLeft w:val="0"/>
      <w:marRight w:val="0"/>
      <w:marTop w:val="0"/>
      <w:marBottom w:val="0"/>
      <w:divBdr>
        <w:top w:val="none" w:sz="0" w:space="0" w:color="auto"/>
        <w:left w:val="none" w:sz="0" w:space="0" w:color="auto"/>
        <w:bottom w:val="none" w:sz="0" w:space="0" w:color="auto"/>
        <w:right w:val="none" w:sz="0" w:space="0" w:color="auto"/>
      </w:divBdr>
    </w:div>
    <w:div w:id="2206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lib.oreluniver.ru/metodicheskie-ukazaniya/opredelenie-vzryvopozharnoj-opasnosti-p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1618</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Павел Голанов</cp:lastModifiedBy>
  <cp:revision>6</cp:revision>
  <dcterms:created xsi:type="dcterms:W3CDTF">2020-05-20T12:07:00Z</dcterms:created>
  <dcterms:modified xsi:type="dcterms:W3CDTF">2020-05-20T17:22:00Z</dcterms:modified>
</cp:coreProperties>
</file>